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E32" w:rsidRDefault="00E031DE" w:rsidP="00845CA9">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845CA9" w:rsidRPr="00DD36CB">
        <w:rPr>
          <w:rFonts w:ascii="Times New Roman" w:hAnsi="Times New Roman" w:cs="Times New Roman"/>
          <w:lang w:val="uk-UA"/>
        </w:rPr>
        <w:t>Реактиви для аналіз</w:t>
      </w:r>
      <w:r w:rsidR="00845CA9">
        <w:rPr>
          <w:rFonts w:ascii="Times New Roman" w:hAnsi="Times New Roman" w:cs="Times New Roman"/>
          <w:lang w:val="uk-UA"/>
        </w:rPr>
        <w:t xml:space="preserve">атора електролітів та газів крові </w:t>
      </w:r>
      <w:r w:rsidR="00845CA9" w:rsidRPr="00845CA9">
        <w:rPr>
          <w:rFonts w:ascii="Times New Roman" w:hAnsi="Times New Roman" w:cs="Times New Roman"/>
          <w:lang w:val="uk-UA"/>
        </w:rPr>
        <w:t>EasyStat</w:t>
      </w:r>
    </w:p>
    <w:p w:rsidR="00146B0B" w:rsidRPr="00710E96" w:rsidRDefault="00E031DE" w:rsidP="00146B0B">
      <w:pPr>
        <w:spacing w:after="0" w:line="240" w:lineRule="auto"/>
        <w:jc w:val="both"/>
        <w:rPr>
          <w:rFonts w:ascii="Times New Roman" w:eastAsia="Times New Roman" w:hAnsi="Times New Roman" w:cs="Times New Roman"/>
          <w:sz w:val="24"/>
          <w:szCs w:val="24"/>
          <w:lang w:val="uk-UA" w:eastAsia="ru-RU"/>
        </w:rPr>
      </w:pPr>
      <w:r w:rsidRPr="00506E32">
        <w:rPr>
          <w:rStyle w:val="rvts0"/>
          <w:rFonts w:ascii="Times New Roman" w:hAnsi="Times New Roman" w:cs="Times New Roman"/>
          <w:lang w:val="uk-UA"/>
        </w:rPr>
        <w:t>Очікувана вартість предмета закупівлі:</w:t>
      </w:r>
      <w:bookmarkStart w:id="0" w:name="_Hlk64476086"/>
      <w:r w:rsidR="00BA11F8" w:rsidRPr="00506E32">
        <w:rPr>
          <w:rFonts w:ascii="Times New Roman" w:hAnsi="Times New Roman" w:cs="Times New Roman"/>
          <w:b/>
          <w:color w:val="000000"/>
          <w:lang w:val="uk-UA" w:eastAsia="uk-UA"/>
        </w:rPr>
        <w:t xml:space="preserve"> </w:t>
      </w:r>
      <w:bookmarkStart w:id="1" w:name="_Hlk106810147"/>
      <w:bookmarkEnd w:id="0"/>
      <w:r w:rsidR="00146B0B">
        <w:rPr>
          <w:rFonts w:ascii="Times New Roman" w:hAnsi="Times New Roman" w:cs="Times New Roman"/>
          <w:b/>
          <w:sz w:val="24"/>
          <w:szCs w:val="24"/>
          <w:lang w:val="uk-UA" w:eastAsia="uk-UA"/>
        </w:rPr>
        <w:t>198 271</w:t>
      </w:r>
      <w:r w:rsidR="00146B0B" w:rsidRPr="00710E96">
        <w:rPr>
          <w:rFonts w:ascii="Times New Roman" w:hAnsi="Times New Roman" w:cs="Times New Roman"/>
          <w:b/>
          <w:sz w:val="24"/>
          <w:szCs w:val="24"/>
          <w:lang w:val="uk-UA" w:eastAsia="uk-UA"/>
        </w:rPr>
        <w:t xml:space="preserve">,00 </w:t>
      </w:r>
      <w:r w:rsidR="00146B0B" w:rsidRPr="00710E96">
        <w:rPr>
          <w:rFonts w:ascii="Times New Roman" w:hAnsi="Times New Roman" w:cs="Times New Roman"/>
          <w:sz w:val="24"/>
          <w:szCs w:val="24"/>
          <w:lang w:val="uk-UA" w:eastAsia="uk-UA"/>
        </w:rPr>
        <w:t>грн. (</w:t>
      </w:r>
      <w:r w:rsidR="00146B0B" w:rsidRPr="00710E96">
        <w:rPr>
          <w:rFonts w:ascii="Times New Roman" w:eastAsia="Times New Roman" w:hAnsi="Times New Roman" w:cs="Times New Roman"/>
          <w:sz w:val="24"/>
          <w:szCs w:val="24"/>
          <w:lang w:val="uk-UA" w:eastAsia="ru-RU"/>
        </w:rPr>
        <w:t>С</w:t>
      </w:r>
      <w:r w:rsidR="00146B0B">
        <w:rPr>
          <w:rFonts w:ascii="Times New Roman" w:eastAsia="Times New Roman" w:hAnsi="Times New Roman" w:cs="Times New Roman"/>
          <w:sz w:val="24"/>
          <w:szCs w:val="24"/>
          <w:lang w:val="uk-UA" w:eastAsia="ru-RU"/>
        </w:rPr>
        <w:t xml:space="preserve">то дев’яносто вісім </w:t>
      </w:r>
      <w:r w:rsidR="00146B0B" w:rsidRPr="00710E96">
        <w:rPr>
          <w:rFonts w:ascii="Times New Roman" w:eastAsia="Times New Roman" w:hAnsi="Times New Roman" w:cs="Times New Roman"/>
          <w:sz w:val="24"/>
          <w:szCs w:val="24"/>
          <w:lang w:val="uk-UA" w:eastAsia="ru-RU"/>
        </w:rPr>
        <w:t xml:space="preserve">тисяч </w:t>
      </w:r>
      <w:r w:rsidR="00146B0B">
        <w:rPr>
          <w:rFonts w:ascii="Times New Roman" w:eastAsia="Times New Roman" w:hAnsi="Times New Roman" w:cs="Times New Roman"/>
          <w:sz w:val="24"/>
          <w:szCs w:val="24"/>
          <w:lang w:val="uk-UA" w:eastAsia="ru-RU"/>
        </w:rPr>
        <w:t xml:space="preserve"> двісті сімдесят одна </w:t>
      </w:r>
      <w:r w:rsidR="00146B0B" w:rsidRPr="00710E96">
        <w:rPr>
          <w:rFonts w:ascii="Times New Roman" w:eastAsia="Times New Roman" w:hAnsi="Times New Roman" w:cs="Times New Roman"/>
          <w:sz w:val="24"/>
          <w:szCs w:val="24"/>
          <w:lang w:val="uk-UA" w:eastAsia="ru-RU"/>
        </w:rPr>
        <w:t>грн. 00 коп. з ПДВ).</w:t>
      </w:r>
    </w:p>
    <w:bookmarkEnd w:id="1"/>
    <w:p w:rsidR="00E031DE" w:rsidRPr="00506E32" w:rsidRDefault="00E031DE" w:rsidP="00506E32">
      <w:pPr>
        <w:jc w:val="both"/>
        <w:rPr>
          <w:rFonts w:ascii="Times New Roman" w:eastAsia="Times New Roman" w:hAnsi="Times New Roman" w:cs="Times New Roman"/>
          <w:color w:val="000000"/>
          <w:lang w:val="uk-UA" w:eastAsia="ru-RU"/>
        </w:rPr>
      </w:pPr>
      <w:r w:rsidRPr="00506E32">
        <w:rPr>
          <w:rFonts w:ascii="Times New Roman" w:hAnsi="Times New Roman" w:cs="Times New Roman"/>
          <w:lang w:val="uk-UA"/>
        </w:rPr>
        <w:t>Місце поставки товарів</w:t>
      </w:r>
      <w:r w:rsidR="00692496" w:rsidRPr="00506E32">
        <w:rPr>
          <w:rFonts w:ascii="Times New Roman" w:hAnsi="Times New Roman" w:cs="Times New Roman"/>
          <w:lang w:val="uk-UA"/>
        </w:rPr>
        <w:t>:</w:t>
      </w:r>
      <w:r w:rsidR="00A97679" w:rsidRPr="00506E32">
        <w:rPr>
          <w:rFonts w:ascii="Times New Roman" w:hAnsi="Times New Roman" w:cs="Times New Roman"/>
          <w:lang w:val="uk-UA"/>
        </w:rPr>
        <w:t xml:space="preserve"> </w:t>
      </w:r>
      <w:r w:rsidRPr="00506E32">
        <w:rPr>
          <w:rFonts w:ascii="Times New Roman" w:hAnsi="Times New Roman" w:cs="Times New Roman"/>
          <w:lang w:val="uk-UA"/>
        </w:rPr>
        <w:t>21032, Вінницька обл.,  м. Вінниця, вул. Київська, 68, КНП «ВМКЛ ШМД».</w:t>
      </w:r>
    </w:p>
    <w:p w:rsidR="0033022E" w:rsidRPr="00506E32" w:rsidRDefault="00E031DE" w:rsidP="0092142A">
      <w:pPr>
        <w:spacing w:after="0" w:line="240" w:lineRule="auto"/>
        <w:jc w:val="both"/>
        <w:rPr>
          <w:rFonts w:ascii="Times New Roman" w:hAnsi="Times New Roman" w:cs="Times New Roman"/>
          <w:lang w:val="uk-UA"/>
        </w:rPr>
      </w:pPr>
      <w:r w:rsidRPr="00506E32">
        <w:rPr>
          <w:rFonts w:ascii="Times New Roman" w:hAnsi="Times New Roman" w:cs="Times New Roman"/>
          <w:lang w:val="uk-UA"/>
        </w:rPr>
        <w:t xml:space="preserve">Умови оплати: </w:t>
      </w:r>
      <w:r w:rsidR="00A97679" w:rsidRPr="00506E32">
        <w:rPr>
          <w:rFonts w:ascii="Times New Roman" w:hAnsi="Times New Roman" w:cs="Times New Roman"/>
          <w:lang w:val="uk-UA"/>
        </w:rPr>
        <w:t>Післяоплата</w:t>
      </w:r>
      <w:r w:rsidR="00A97679" w:rsidRPr="00506E32">
        <w:rPr>
          <w:rFonts w:ascii="Times New Roman" w:eastAsia="Calibri" w:hAnsi="Times New Roman" w:cs="Times New Roman"/>
          <w:lang w:val="uk-UA"/>
        </w:rPr>
        <w:t>. Розрахунки проводяться у безготівковій формі шляхом п</w:t>
      </w:r>
      <w:r w:rsidR="00A97679" w:rsidRPr="00506E32">
        <w:rPr>
          <w:rFonts w:ascii="Times New Roman" w:hAnsi="Times New Roman" w:cs="Times New Roman"/>
          <w:lang w:val="uk-UA"/>
        </w:rPr>
        <w:t>ерерахунку коштів на рахунок Постачальника</w:t>
      </w:r>
      <w:r w:rsidR="00A97679" w:rsidRPr="00506E32">
        <w:rPr>
          <w:rFonts w:ascii="Times New Roman" w:eastAsia="Calibri" w:hAnsi="Times New Roman" w:cs="Times New Roman"/>
          <w:lang w:val="uk-UA"/>
        </w:rPr>
        <w:t xml:space="preserve"> протягом 30 календарних днів з дня отримання товару</w:t>
      </w:r>
      <w:r w:rsidRPr="00506E32">
        <w:rPr>
          <w:rFonts w:ascii="Times New Roman" w:eastAsia="Calibri" w:hAnsi="Times New Roman" w:cs="Times New Roman"/>
          <w:lang w:val="uk-UA"/>
        </w:rPr>
        <w:t>.</w:t>
      </w:r>
    </w:p>
    <w:p w:rsidR="007D68B0" w:rsidRPr="00506E32" w:rsidRDefault="00692496" w:rsidP="007D68B0">
      <w:pPr>
        <w:spacing w:after="0" w:line="240" w:lineRule="auto"/>
        <w:jc w:val="both"/>
        <w:rPr>
          <w:rFonts w:ascii="Times New Roman" w:eastAsia="Calibri" w:hAnsi="Times New Roman" w:cs="Times New Roman"/>
          <w:lang w:val="uk-UA"/>
        </w:rPr>
      </w:pPr>
      <w:r w:rsidRPr="00506E32">
        <w:rPr>
          <w:rFonts w:ascii="Times New Roman" w:eastAsia="Calibri" w:hAnsi="Times New Roman" w:cs="Times New Roman"/>
          <w:lang w:val="uk-UA"/>
        </w:rPr>
        <w:t xml:space="preserve">Строк поставки: </w:t>
      </w:r>
      <w:r w:rsidR="0001425F" w:rsidRPr="00506E32">
        <w:rPr>
          <w:rFonts w:ascii="Times New Roman" w:eastAsia="Calibri" w:hAnsi="Times New Roman" w:cs="Times New Roman"/>
          <w:lang w:val="uk-UA"/>
        </w:rPr>
        <w:t>31</w:t>
      </w:r>
      <w:r w:rsidRPr="00506E32">
        <w:rPr>
          <w:rFonts w:ascii="Times New Roman" w:eastAsia="Calibri" w:hAnsi="Times New Roman" w:cs="Times New Roman"/>
          <w:lang w:val="uk-UA"/>
        </w:rPr>
        <w:t>.12.202</w:t>
      </w:r>
      <w:r w:rsidR="0001425F" w:rsidRPr="00506E32">
        <w:rPr>
          <w:rFonts w:ascii="Times New Roman" w:eastAsia="Calibri" w:hAnsi="Times New Roman" w:cs="Times New Roman"/>
          <w:lang w:val="uk-UA"/>
        </w:rPr>
        <w:t>2</w:t>
      </w:r>
      <w:r w:rsidRPr="00506E32">
        <w:rPr>
          <w:rFonts w:ascii="Times New Roman" w:eastAsia="Calibri" w:hAnsi="Times New Roman" w:cs="Times New Roman"/>
          <w:lang w:val="uk-UA"/>
        </w:rPr>
        <w:t xml:space="preserve"> року</w:t>
      </w:r>
    </w:p>
    <w:p w:rsidR="00845CA9" w:rsidRPr="00845CA9" w:rsidRDefault="00845CA9" w:rsidP="00845CA9">
      <w:pPr>
        <w:tabs>
          <w:tab w:val="left" w:pos="142"/>
          <w:tab w:val="left" w:pos="284"/>
          <w:tab w:val="left" w:pos="851"/>
        </w:tabs>
        <w:spacing w:after="0" w:line="240" w:lineRule="auto"/>
        <w:jc w:val="both"/>
        <w:rPr>
          <w:rFonts w:ascii="Times New Roman" w:hAnsi="Times New Roman"/>
          <w:b/>
          <w:lang w:val="uk-UA"/>
        </w:rPr>
      </w:pPr>
      <w:r w:rsidRPr="00845CA9">
        <w:rPr>
          <w:rFonts w:ascii="Times New Roman" w:hAnsi="Times New Roman"/>
          <w:b/>
          <w:lang w:val="uk-UA"/>
        </w:rPr>
        <w:t xml:space="preserve"> І.ЗАГАЛЬНІ, КІЛЬКІСНІ та ЯКІСНІ ВИМОГИ: </w:t>
      </w:r>
    </w:p>
    <w:p w:rsidR="00146B0B" w:rsidRPr="006376BD" w:rsidRDefault="00146B0B" w:rsidP="00146B0B">
      <w:pPr>
        <w:numPr>
          <w:ilvl w:val="0"/>
          <w:numId w:val="1"/>
        </w:numPr>
        <w:tabs>
          <w:tab w:val="clear" w:pos="9999"/>
          <w:tab w:val="left" w:pos="284"/>
          <w:tab w:val="num" w:pos="786"/>
        </w:tabs>
        <w:spacing w:after="0" w:line="240" w:lineRule="auto"/>
        <w:ind w:left="0" w:firstLine="0"/>
        <w:jc w:val="both"/>
        <w:rPr>
          <w:rFonts w:ascii="Times New Roman" w:hAnsi="Times New Roman"/>
        </w:rPr>
      </w:pPr>
      <w:r w:rsidRPr="006376BD">
        <w:rPr>
          <w:rFonts w:ascii="Times New Roman" w:hAnsi="Times New Roman"/>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rsidR="00146B0B" w:rsidRPr="00DD2F1B" w:rsidRDefault="00146B0B" w:rsidP="00146B0B">
      <w:pPr>
        <w:tabs>
          <w:tab w:val="left" w:pos="284"/>
        </w:tabs>
        <w:spacing w:after="0" w:line="240" w:lineRule="auto"/>
        <w:jc w:val="both"/>
        <w:rPr>
          <w:rFonts w:ascii="Times New Roman" w:hAnsi="Times New Roman"/>
          <w:i/>
          <w:color w:val="FF0000"/>
        </w:rPr>
      </w:pPr>
      <w:r w:rsidRPr="006376BD">
        <w:rPr>
          <w:rFonts w:ascii="Times New Roman" w:hAnsi="Times New Roman"/>
          <w:i/>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(експлуатаційної документац</w:t>
      </w:r>
      <w:r w:rsidRPr="006376BD">
        <w:rPr>
          <w:rFonts w:ascii="Times New Roman" w:hAnsi="Times New Roman"/>
        </w:rPr>
        <w:t>ії</w:t>
      </w:r>
      <w:r>
        <w:rPr>
          <w:rFonts w:ascii="Times New Roman" w:hAnsi="Times New Roman"/>
        </w:rPr>
        <w:t>)</w:t>
      </w:r>
      <w:r w:rsidRPr="006376BD">
        <w:rPr>
          <w:rFonts w:ascii="Times New Roman" w:hAnsi="Times New Roman"/>
        </w:rPr>
        <w:t>:</w:t>
      </w:r>
      <w:r w:rsidRPr="006376BD">
        <w:rPr>
          <w:rFonts w:ascii="Times New Roman" w:hAnsi="Times New Roman"/>
          <w:i/>
        </w:rPr>
        <w:t xml:space="preserve"> настанови (інструкції) з експлуатації (застосування), або технічного опису чи технічних умов, або інших документів українською мов</w:t>
      </w:r>
      <w:r>
        <w:rPr>
          <w:rFonts w:ascii="Times New Roman" w:hAnsi="Times New Roman"/>
          <w:i/>
        </w:rPr>
        <w:t>ою</w:t>
      </w:r>
      <w:r w:rsidRPr="006376BD">
        <w:rPr>
          <w:rFonts w:ascii="Times New Roman" w:hAnsi="Times New Roman"/>
          <w:i/>
        </w:rPr>
        <w:t xml:space="preserve"> в якому міститься ця інформація разом з додаванням таких документів</w:t>
      </w:r>
      <w:r w:rsidRPr="006376BD">
        <w:rPr>
          <w:rFonts w:ascii="Times New Roman" w:hAnsi="Times New Roman"/>
        </w:rPr>
        <w:t>.</w:t>
      </w:r>
      <w:r w:rsidRPr="006376BD">
        <w:rPr>
          <w:rFonts w:ascii="Times New Roman" w:hAnsi="Times New Roman"/>
          <w:i/>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r w:rsidRPr="00F33E35">
        <w:rPr>
          <w:rFonts w:ascii="Times New Roman" w:hAnsi="Times New Roman"/>
          <w:i/>
        </w:rPr>
        <w:t>.</w:t>
      </w:r>
    </w:p>
    <w:p w:rsidR="00146B0B" w:rsidRPr="006376BD" w:rsidRDefault="00146B0B" w:rsidP="00146B0B">
      <w:pPr>
        <w:numPr>
          <w:ilvl w:val="0"/>
          <w:numId w:val="1"/>
        </w:numPr>
        <w:tabs>
          <w:tab w:val="clear" w:pos="9999"/>
          <w:tab w:val="left" w:pos="284"/>
          <w:tab w:val="num" w:pos="786"/>
        </w:tabs>
        <w:spacing w:after="0" w:line="240" w:lineRule="auto"/>
        <w:ind w:left="0" w:firstLine="0"/>
        <w:jc w:val="both"/>
        <w:rPr>
          <w:rFonts w:ascii="Times New Roman" w:hAnsi="Times New Roman"/>
        </w:rPr>
      </w:pPr>
      <w:r w:rsidRPr="006376BD">
        <w:rPr>
          <w:rFonts w:ascii="Times New Roman" w:hAnsi="Times New Roman"/>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146B0B" w:rsidRDefault="00146B0B" w:rsidP="00146B0B">
      <w:pPr>
        <w:tabs>
          <w:tab w:val="left" w:pos="284"/>
        </w:tabs>
        <w:spacing w:after="0" w:line="240" w:lineRule="auto"/>
        <w:jc w:val="both"/>
        <w:rPr>
          <w:rFonts w:ascii="Times New Roman" w:hAnsi="Times New Roman"/>
          <w:i/>
        </w:rPr>
      </w:pPr>
      <w:r w:rsidRPr="006376BD">
        <w:rPr>
          <w:rFonts w:ascii="Times New Roman" w:hAnsi="Times New Roman"/>
          <w:i/>
        </w:rPr>
        <w:t>На підтвердження Учасник повинен надати:</w:t>
      </w:r>
    </w:p>
    <w:p w:rsidR="00146B0B" w:rsidRPr="009F303C" w:rsidRDefault="00146B0B" w:rsidP="00146B0B">
      <w:pPr>
        <w:spacing w:after="0" w:line="240" w:lineRule="auto"/>
        <w:jc w:val="both"/>
        <w:rPr>
          <w:rFonts w:ascii="Times New Roman" w:hAnsi="Times New Roman"/>
          <w:i/>
        </w:rPr>
      </w:pPr>
      <w:r w:rsidRPr="005E45B9">
        <w:rPr>
          <w:rFonts w:ascii="Times New Roman" w:hAnsi="Times New Roman"/>
          <w:b/>
          <w:i/>
        </w:rPr>
        <w:t>а)</w:t>
      </w:r>
      <w:r w:rsidRPr="00CD41DA">
        <w:rPr>
          <w:rFonts w:ascii="Times New Roman" w:hAnsi="Times New Roman"/>
          <w:i/>
        </w:rPr>
        <w:t>Декларацію або документів, що підтверджують можливість введення в обіг та/або експлуатацію (застосування) медичного виробу</w:t>
      </w:r>
      <w:r w:rsidRPr="00CD41DA">
        <w:rPr>
          <w:rFonts w:ascii="Times New Roman" w:hAnsi="Times New Roman"/>
          <w:i/>
          <w:color w:val="000000"/>
        </w:rPr>
        <w:t xml:space="preserve"> (лабораторних реактивів)</w:t>
      </w:r>
      <w:r w:rsidRPr="00CD41DA">
        <w:rPr>
          <w:rFonts w:ascii="Times New Roman" w:hAnsi="Times New Roman"/>
          <w:i/>
        </w:rPr>
        <w:t xml:space="preserve"> за результатами проходження процедури оцінки відповідності згідно вимог технічного регламенту</w:t>
      </w:r>
      <w:r>
        <w:rPr>
          <w:rFonts w:ascii="Times New Roman" w:hAnsi="Times New Roman"/>
          <w:i/>
        </w:rPr>
        <w:t xml:space="preserve"> з додатками у разі наявності, </w:t>
      </w:r>
      <w:r w:rsidRPr="00F33E35">
        <w:rPr>
          <w:rFonts w:ascii="Times New Roman" w:eastAsia="Tahoma" w:hAnsi="Times New Roman"/>
          <w:b/>
          <w:i/>
          <w:color w:val="00000A"/>
          <w:lang w:eastAsia="zh-CN" w:bidi="hi-IN"/>
        </w:rPr>
        <w:t>або</w:t>
      </w:r>
      <w:r w:rsidRPr="00F33E35">
        <w:rPr>
          <w:rFonts w:ascii="Times New Roman" w:hAnsi="Times New Roman"/>
          <w:i/>
        </w:rPr>
        <w:t xml:space="preserve"> інший документ передбачений законодавством на даний вид товару,</w:t>
      </w:r>
      <w:r>
        <w:rPr>
          <w:rFonts w:ascii="Times New Roman" w:hAnsi="Times New Roman"/>
          <w:i/>
        </w:rPr>
        <w:t xml:space="preserve"> на кожне найменування </w:t>
      </w:r>
      <w:r w:rsidRPr="00CD41DA">
        <w:rPr>
          <w:rFonts w:ascii="Times New Roman" w:hAnsi="Times New Roman"/>
          <w:i/>
        </w:rPr>
        <w:t xml:space="preserve"> або</w:t>
      </w:r>
    </w:p>
    <w:p w:rsidR="00146B0B" w:rsidRPr="00CD41DA" w:rsidRDefault="00146B0B" w:rsidP="00146B0B">
      <w:pPr>
        <w:tabs>
          <w:tab w:val="left" w:pos="284"/>
        </w:tabs>
        <w:spacing w:after="0" w:line="240" w:lineRule="auto"/>
        <w:jc w:val="both"/>
        <w:rPr>
          <w:rFonts w:ascii="Times New Roman" w:hAnsi="Times New Roman"/>
          <w:i/>
        </w:rPr>
      </w:pPr>
      <w:r w:rsidRPr="009F303C">
        <w:rPr>
          <w:rFonts w:ascii="Times New Roman" w:hAnsi="Times New Roman"/>
          <w:b/>
          <w:i/>
        </w:rPr>
        <w:t>б)</w:t>
      </w:r>
      <w:r w:rsidRPr="009F303C">
        <w:rPr>
          <w:rFonts w:ascii="Times New Roman" w:hAnsi="Times New Roman"/>
          <w:i/>
        </w:rPr>
        <w:t xml:space="preserve"> гарантійний лист від Учасника, що </w:t>
      </w:r>
      <w:r>
        <w:rPr>
          <w:rFonts w:ascii="Times New Roman" w:hAnsi="Times New Roman"/>
          <w:i/>
        </w:rPr>
        <w:t xml:space="preserve">копії документів, </w:t>
      </w:r>
      <w:r w:rsidRPr="009F303C">
        <w:rPr>
          <w:rFonts w:ascii="Times New Roman" w:hAnsi="Times New Roman"/>
          <w:i/>
        </w:rPr>
        <w:t>на запропонований ним товар визначених п. п. (а) п.2 загальних вимог цього Додатку, будуть надані при постачанні товару.</w:t>
      </w:r>
    </w:p>
    <w:p w:rsidR="00146B0B" w:rsidRDefault="00146B0B" w:rsidP="00146B0B">
      <w:pPr>
        <w:tabs>
          <w:tab w:val="left" w:pos="284"/>
        </w:tabs>
        <w:spacing w:after="0" w:line="240" w:lineRule="auto"/>
        <w:jc w:val="both"/>
        <w:rPr>
          <w:rFonts w:ascii="Times New Roman" w:hAnsi="Times New Roman"/>
          <w:b/>
          <w:noProof/>
          <w:szCs w:val="26"/>
        </w:rPr>
      </w:pPr>
      <w:r w:rsidRPr="00E9032F">
        <w:rPr>
          <w:rFonts w:ascii="Times New Roman" w:hAnsi="Times New Roman"/>
          <w:b/>
        </w:rPr>
        <w:t>*Реактиви закуповуються для</w:t>
      </w:r>
      <w:r>
        <w:rPr>
          <w:rFonts w:ascii="Times New Roman" w:hAnsi="Times New Roman"/>
          <w:b/>
        </w:rPr>
        <w:t xml:space="preserve">  </w:t>
      </w:r>
      <w:r w:rsidRPr="00731A22">
        <w:rPr>
          <w:rFonts w:ascii="Times New Roman" w:hAnsi="Times New Roman"/>
          <w:b/>
        </w:rPr>
        <w:t xml:space="preserve">можливості здійснення </w:t>
      </w:r>
      <w:r>
        <w:rPr>
          <w:rFonts w:ascii="Times New Roman" w:hAnsi="Times New Roman"/>
          <w:b/>
        </w:rPr>
        <w:t>лабораторних досліджень -</w:t>
      </w:r>
      <w:r w:rsidRPr="00E9032F">
        <w:rPr>
          <w:rFonts w:ascii="Times New Roman" w:hAnsi="Times New Roman"/>
          <w:b/>
        </w:rPr>
        <w:t>аналізатор</w:t>
      </w:r>
      <w:r>
        <w:rPr>
          <w:rFonts w:ascii="Times New Roman" w:hAnsi="Times New Roman"/>
          <w:b/>
        </w:rPr>
        <w:t>ом</w:t>
      </w:r>
      <w:r w:rsidRPr="00E9032F">
        <w:rPr>
          <w:rFonts w:ascii="Times New Roman" w:hAnsi="Times New Roman"/>
          <w:b/>
        </w:rPr>
        <w:t xml:space="preserve"> електролітів та газів крові </w:t>
      </w:r>
      <w:r w:rsidRPr="00C42D69">
        <w:rPr>
          <w:rFonts w:ascii="Times New Roman" w:hAnsi="Times New Roman"/>
          <w:b/>
          <w:sz w:val="28"/>
          <w:szCs w:val="28"/>
        </w:rPr>
        <w:t>EasyStat</w:t>
      </w:r>
      <w:r>
        <w:rPr>
          <w:rFonts w:ascii="Times New Roman" w:hAnsi="Times New Roman"/>
          <w:b/>
          <w:sz w:val="28"/>
          <w:szCs w:val="28"/>
        </w:rPr>
        <w:t xml:space="preserve"> </w:t>
      </w:r>
      <w:r>
        <w:rPr>
          <w:rFonts w:ascii="Times New Roman" w:hAnsi="Times New Roman"/>
          <w:b/>
          <w:noProof/>
          <w:szCs w:val="26"/>
        </w:rPr>
        <w:t>та/або бути сумісними  без додаткових налаштувань.</w:t>
      </w:r>
    </w:p>
    <w:p w:rsidR="00146B0B" w:rsidRDefault="00146B0B" w:rsidP="00146B0B">
      <w:pPr>
        <w:tabs>
          <w:tab w:val="left" w:pos="284"/>
        </w:tabs>
        <w:spacing w:after="0" w:line="240" w:lineRule="auto"/>
        <w:jc w:val="both"/>
        <w:rPr>
          <w:rFonts w:ascii="Times New Roman" w:hAnsi="Times New Roman"/>
          <w:b/>
        </w:rPr>
      </w:pPr>
    </w:p>
    <w:p w:rsidR="00146B0B" w:rsidRDefault="00146B0B" w:rsidP="00146B0B">
      <w:pPr>
        <w:tabs>
          <w:tab w:val="left" w:pos="284"/>
        </w:tabs>
        <w:spacing w:after="0" w:line="240" w:lineRule="auto"/>
        <w:jc w:val="both"/>
        <w:rPr>
          <w:rFonts w:ascii="Times New Roman" w:hAnsi="Times New Roman"/>
          <w:b/>
          <w:noProof/>
          <w:szCs w:val="26"/>
        </w:rPr>
      </w:pPr>
      <w:r>
        <w:rPr>
          <w:rFonts w:ascii="Times New Roman" w:hAnsi="Times New Roman"/>
          <w:b/>
        </w:rPr>
        <w:t>ІІ. КІЛЬКІСНІ та ЯКІСНІ ВИМОГИ (опис предмета закупівлі):</w:t>
      </w:r>
    </w:p>
    <w:tbl>
      <w:tblPr>
        <w:tblStyle w:val="TableNormal"/>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544"/>
        <w:gridCol w:w="1276"/>
        <w:gridCol w:w="425"/>
        <w:gridCol w:w="2551"/>
        <w:gridCol w:w="764"/>
        <w:gridCol w:w="937"/>
      </w:tblGrid>
      <w:tr w:rsidR="00146B0B" w:rsidRPr="00551CA7" w:rsidTr="005750EB">
        <w:trPr>
          <w:trHeight w:val="271"/>
        </w:trPr>
        <w:tc>
          <w:tcPr>
            <w:tcW w:w="426" w:type="dxa"/>
          </w:tcPr>
          <w:p w:rsidR="00146B0B" w:rsidRDefault="00146B0B" w:rsidP="005750EB">
            <w:pPr>
              <w:pStyle w:val="TableParagraph"/>
              <w:spacing w:line="251" w:lineRule="exact"/>
              <w:ind w:left="77"/>
              <w:rPr>
                <w:bCs/>
                <w:sz w:val="20"/>
                <w:szCs w:val="20"/>
              </w:rPr>
            </w:pPr>
          </w:p>
        </w:tc>
        <w:tc>
          <w:tcPr>
            <w:tcW w:w="5245" w:type="dxa"/>
            <w:gridSpan w:val="3"/>
          </w:tcPr>
          <w:p w:rsidR="00146B0B" w:rsidRPr="00551CA7" w:rsidRDefault="00146B0B" w:rsidP="005750EB">
            <w:pPr>
              <w:pStyle w:val="TableParagraph"/>
              <w:spacing w:line="251" w:lineRule="exact"/>
              <w:ind w:left="77"/>
              <w:rPr>
                <w:bCs/>
                <w:sz w:val="20"/>
                <w:szCs w:val="20"/>
              </w:rPr>
            </w:pPr>
            <w:r>
              <w:rPr>
                <w:bCs/>
                <w:sz w:val="20"/>
                <w:szCs w:val="20"/>
              </w:rPr>
              <w:t>Предмет закупівлі відповідно до вимог замовника</w:t>
            </w:r>
          </w:p>
        </w:tc>
        <w:tc>
          <w:tcPr>
            <w:tcW w:w="4252" w:type="dxa"/>
            <w:gridSpan w:val="3"/>
          </w:tcPr>
          <w:p w:rsidR="00146B0B" w:rsidRPr="00551CA7" w:rsidRDefault="00146B0B" w:rsidP="005750EB">
            <w:pPr>
              <w:pStyle w:val="TableParagraph"/>
              <w:spacing w:line="251" w:lineRule="exact"/>
              <w:ind w:left="77"/>
              <w:rPr>
                <w:bCs/>
                <w:sz w:val="20"/>
                <w:szCs w:val="20"/>
              </w:rPr>
            </w:pPr>
            <w:r>
              <w:rPr>
                <w:bCs/>
                <w:sz w:val="20"/>
                <w:szCs w:val="20"/>
              </w:rPr>
              <w:t>Предмет закупівлі запропонований учасником*</w:t>
            </w:r>
          </w:p>
        </w:tc>
      </w:tr>
      <w:tr w:rsidR="00146B0B" w:rsidRPr="00551CA7" w:rsidTr="005750EB">
        <w:trPr>
          <w:trHeight w:val="271"/>
        </w:trPr>
        <w:tc>
          <w:tcPr>
            <w:tcW w:w="426" w:type="dxa"/>
          </w:tcPr>
          <w:p w:rsidR="00146B0B" w:rsidRPr="00551CA7" w:rsidRDefault="00146B0B" w:rsidP="005750EB">
            <w:pPr>
              <w:pStyle w:val="TableParagraph"/>
              <w:spacing w:line="251" w:lineRule="exact"/>
              <w:ind w:left="47" w:right="42"/>
              <w:rPr>
                <w:bCs/>
                <w:sz w:val="20"/>
                <w:szCs w:val="20"/>
              </w:rPr>
            </w:pPr>
            <w:r>
              <w:rPr>
                <w:bCs/>
                <w:sz w:val="20"/>
                <w:szCs w:val="20"/>
              </w:rPr>
              <w:t>№ з/п</w:t>
            </w:r>
          </w:p>
        </w:tc>
        <w:tc>
          <w:tcPr>
            <w:tcW w:w="3544" w:type="dxa"/>
          </w:tcPr>
          <w:p w:rsidR="00146B0B" w:rsidRPr="00551CA7" w:rsidRDefault="00146B0B" w:rsidP="005750EB">
            <w:pPr>
              <w:pStyle w:val="TableParagraph"/>
              <w:spacing w:line="251" w:lineRule="exact"/>
              <w:ind w:left="47" w:right="42"/>
              <w:rPr>
                <w:bCs/>
                <w:sz w:val="20"/>
                <w:szCs w:val="20"/>
              </w:rPr>
            </w:pPr>
            <w:r w:rsidRPr="00551CA7">
              <w:rPr>
                <w:bCs/>
                <w:sz w:val="20"/>
                <w:szCs w:val="20"/>
              </w:rPr>
              <w:t>Предмет закупівлі</w:t>
            </w:r>
            <w:r>
              <w:rPr>
                <w:bCs/>
                <w:sz w:val="20"/>
                <w:szCs w:val="20"/>
              </w:rPr>
              <w:t xml:space="preserve"> </w:t>
            </w:r>
          </w:p>
        </w:tc>
        <w:tc>
          <w:tcPr>
            <w:tcW w:w="1276" w:type="dxa"/>
          </w:tcPr>
          <w:p w:rsidR="00146B0B" w:rsidRPr="00551CA7" w:rsidRDefault="00146B0B" w:rsidP="005750EB">
            <w:pPr>
              <w:pStyle w:val="TableParagraph"/>
              <w:spacing w:line="254" w:lineRule="exact"/>
              <w:ind w:left="180" w:right="158"/>
              <w:jc w:val="both"/>
              <w:rPr>
                <w:bCs/>
                <w:sz w:val="20"/>
                <w:szCs w:val="20"/>
              </w:rPr>
            </w:pPr>
            <w:r w:rsidRPr="00551CA7">
              <w:rPr>
                <w:bCs/>
                <w:sz w:val="20"/>
                <w:szCs w:val="20"/>
              </w:rPr>
              <w:t>Од</w:t>
            </w:r>
            <w:r>
              <w:rPr>
                <w:bCs/>
                <w:sz w:val="20"/>
                <w:szCs w:val="20"/>
              </w:rPr>
              <w:t>.</w:t>
            </w:r>
            <w:r w:rsidRPr="00551CA7">
              <w:rPr>
                <w:bCs/>
                <w:spacing w:val="-52"/>
                <w:sz w:val="20"/>
                <w:szCs w:val="20"/>
              </w:rPr>
              <w:t xml:space="preserve"> </w:t>
            </w:r>
            <w:r w:rsidRPr="00551CA7">
              <w:rPr>
                <w:bCs/>
                <w:sz w:val="20"/>
                <w:szCs w:val="20"/>
              </w:rPr>
              <w:t>виміру</w:t>
            </w:r>
          </w:p>
        </w:tc>
        <w:tc>
          <w:tcPr>
            <w:tcW w:w="425" w:type="dxa"/>
          </w:tcPr>
          <w:p w:rsidR="00146B0B" w:rsidRPr="00551CA7" w:rsidRDefault="00146B0B" w:rsidP="005750EB">
            <w:pPr>
              <w:pStyle w:val="TableParagraph"/>
              <w:spacing w:line="251" w:lineRule="exact"/>
              <w:ind w:left="77"/>
              <w:rPr>
                <w:bCs/>
                <w:sz w:val="20"/>
                <w:szCs w:val="20"/>
              </w:rPr>
            </w:pPr>
            <w:r w:rsidRPr="00551CA7">
              <w:rPr>
                <w:bCs/>
                <w:sz w:val="20"/>
                <w:szCs w:val="20"/>
              </w:rPr>
              <w:t>Кількість</w:t>
            </w:r>
          </w:p>
        </w:tc>
        <w:tc>
          <w:tcPr>
            <w:tcW w:w="2551" w:type="dxa"/>
          </w:tcPr>
          <w:p w:rsidR="00146B0B" w:rsidRPr="00551CA7" w:rsidRDefault="00146B0B" w:rsidP="005750EB">
            <w:pPr>
              <w:pStyle w:val="TableParagraph"/>
              <w:spacing w:line="251" w:lineRule="exact"/>
              <w:ind w:left="77"/>
              <w:rPr>
                <w:bCs/>
                <w:sz w:val="20"/>
                <w:szCs w:val="20"/>
              </w:rPr>
            </w:pPr>
            <w:r>
              <w:rPr>
                <w:bCs/>
                <w:sz w:val="20"/>
                <w:szCs w:val="20"/>
              </w:rPr>
              <w:t>Предмет закупівлі ( торгова назва)</w:t>
            </w:r>
          </w:p>
        </w:tc>
        <w:tc>
          <w:tcPr>
            <w:tcW w:w="764" w:type="dxa"/>
          </w:tcPr>
          <w:p w:rsidR="00146B0B" w:rsidRPr="00551CA7" w:rsidRDefault="00146B0B" w:rsidP="005750EB">
            <w:pPr>
              <w:pStyle w:val="TableParagraph"/>
              <w:spacing w:line="251" w:lineRule="exact"/>
              <w:ind w:left="77"/>
              <w:rPr>
                <w:bCs/>
                <w:sz w:val="20"/>
                <w:szCs w:val="20"/>
              </w:rPr>
            </w:pPr>
            <w:r w:rsidRPr="00551CA7">
              <w:rPr>
                <w:bCs/>
                <w:sz w:val="20"/>
                <w:szCs w:val="20"/>
              </w:rPr>
              <w:t>Одиниця</w:t>
            </w:r>
            <w:r>
              <w:rPr>
                <w:bCs/>
                <w:sz w:val="20"/>
                <w:szCs w:val="20"/>
              </w:rPr>
              <w:t xml:space="preserve"> </w:t>
            </w:r>
            <w:r w:rsidRPr="00551CA7">
              <w:rPr>
                <w:bCs/>
                <w:spacing w:val="-52"/>
                <w:sz w:val="20"/>
                <w:szCs w:val="20"/>
              </w:rPr>
              <w:t xml:space="preserve"> </w:t>
            </w:r>
            <w:r w:rsidRPr="00551CA7">
              <w:rPr>
                <w:bCs/>
                <w:sz w:val="20"/>
                <w:szCs w:val="20"/>
              </w:rPr>
              <w:t>виміру</w:t>
            </w:r>
          </w:p>
        </w:tc>
        <w:tc>
          <w:tcPr>
            <w:tcW w:w="937" w:type="dxa"/>
          </w:tcPr>
          <w:p w:rsidR="00146B0B" w:rsidRPr="00551CA7" w:rsidRDefault="00146B0B" w:rsidP="005750EB">
            <w:pPr>
              <w:pStyle w:val="TableParagraph"/>
              <w:spacing w:line="251" w:lineRule="exact"/>
              <w:ind w:left="77"/>
              <w:rPr>
                <w:bCs/>
                <w:sz w:val="20"/>
                <w:szCs w:val="20"/>
              </w:rPr>
            </w:pPr>
            <w:r w:rsidRPr="00551CA7">
              <w:rPr>
                <w:bCs/>
                <w:sz w:val="20"/>
                <w:szCs w:val="20"/>
              </w:rPr>
              <w:t>Кількість</w:t>
            </w:r>
          </w:p>
        </w:tc>
      </w:tr>
      <w:tr w:rsidR="00146B0B" w:rsidRPr="00687B03" w:rsidTr="005750EB">
        <w:trPr>
          <w:trHeight w:val="212"/>
        </w:trPr>
        <w:tc>
          <w:tcPr>
            <w:tcW w:w="426" w:type="dxa"/>
          </w:tcPr>
          <w:p w:rsidR="00146B0B" w:rsidRPr="00383ECB" w:rsidRDefault="00146B0B" w:rsidP="005750EB">
            <w:pPr>
              <w:pStyle w:val="TableParagraph"/>
              <w:spacing w:line="245" w:lineRule="exact"/>
              <w:ind w:left="0"/>
            </w:pPr>
            <w:r w:rsidRPr="00383ECB">
              <w:t>1</w:t>
            </w:r>
          </w:p>
        </w:tc>
        <w:tc>
          <w:tcPr>
            <w:tcW w:w="3544" w:type="dxa"/>
            <w:vAlign w:val="center"/>
          </w:tcPr>
          <w:p w:rsidR="00146B0B" w:rsidRPr="00383ECB" w:rsidRDefault="00146B0B" w:rsidP="005750EB">
            <w:pPr>
              <w:pStyle w:val="TableParagraph"/>
              <w:spacing w:line="245" w:lineRule="exact"/>
              <w:ind w:left="0"/>
            </w:pPr>
            <w:r w:rsidRPr="00383ECB">
              <w:rPr>
                <w:color w:val="000000"/>
              </w:rPr>
              <w:t>Реагентний</w:t>
            </w:r>
            <w:r w:rsidRPr="00383ECB">
              <w:rPr>
                <w:color w:val="000000"/>
                <w:lang w:val="en-US"/>
              </w:rPr>
              <w:t xml:space="preserve"> </w:t>
            </w:r>
            <w:r w:rsidRPr="00383ECB">
              <w:rPr>
                <w:color w:val="000000"/>
              </w:rPr>
              <w:t>модуль</w:t>
            </w:r>
            <w:r w:rsidRPr="00383ECB">
              <w:rPr>
                <w:color w:val="000000"/>
                <w:lang w:val="en-US"/>
              </w:rPr>
              <w:t xml:space="preserve"> </w:t>
            </w:r>
          </w:p>
        </w:tc>
        <w:tc>
          <w:tcPr>
            <w:tcW w:w="1276" w:type="dxa"/>
          </w:tcPr>
          <w:p w:rsidR="00146B0B" w:rsidRPr="00383ECB" w:rsidRDefault="00146B0B" w:rsidP="005750EB">
            <w:pPr>
              <w:pStyle w:val="TableParagraph"/>
              <w:spacing w:line="245" w:lineRule="exact"/>
              <w:ind w:left="54"/>
              <w:jc w:val="center"/>
            </w:pPr>
            <w:r w:rsidRPr="00383ECB">
              <w:t>шт</w:t>
            </w:r>
          </w:p>
        </w:tc>
        <w:tc>
          <w:tcPr>
            <w:tcW w:w="425" w:type="dxa"/>
          </w:tcPr>
          <w:p w:rsidR="00146B0B" w:rsidRPr="00383ECB" w:rsidRDefault="00146B0B" w:rsidP="005750EB">
            <w:pPr>
              <w:pStyle w:val="TableParagraph"/>
              <w:spacing w:line="245" w:lineRule="exact"/>
              <w:ind w:left="94"/>
              <w:jc w:val="both"/>
            </w:pPr>
            <w:r w:rsidRPr="00383ECB">
              <w:t>8</w:t>
            </w:r>
          </w:p>
        </w:tc>
        <w:tc>
          <w:tcPr>
            <w:tcW w:w="2551" w:type="dxa"/>
          </w:tcPr>
          <w:p w:rsidR="00146B0B" w:rsidRPr="00687B03" w:rsidRDefault="00146B0B" w:rsidP="005750EB">
            <w:pPr>
              <w:pStyle w:val="TableParagraph"/>
              <w:spacing w:line="245" w:lineRule="exact"/>
              <w:ind w:left="94"/>
              <w:jc w:val="center"/>
            </w:pPr>
          </w:p>
        </w:tc>
        <w:tc>
          <w:tcPr>
            <w:tcW w:w="764" w:type="dxa"/>
          </w:tcPr>
          <w:p w:rsidR="00146B0B" w:rsidRPr="00687B03" w:rsidRDefault="00146B0B" w:rsidP="005750EB">
            <w:pPr>
              <w:pStyle w:val="TableParagraph"/>
              <w:spacing w:line="245" w:lineRule="exact"/>
              <w:ind w:left="94"/>
              <w:jc w:val="center"/>
            </w:pPr>
          </w:p>
        </w:tc>
        <w:tc>
          <w:tcPr>
            <w:tcW w:w="937" w:type="dxa"/>
          </w:tcPr>
          <w:p w:rsidR="00146B0B" w:rsidRPr="00687B03" w:rsidRDefault="00146B0B" w:rsidP="005750EB">
            <w:pPr>
              <w:pStyle w:val="TableParagraph"/>
              <w:spacing w:line="245" w:lineRule="exact"/>
              <w:ind w:left="94"/>
              <w:jc w:val="center"/>
            </w:pPr>
          </w:p>
        </w:tc>
      </w:tr>
      <w:tr w:rsidR="00146B0B" w:rsidRPr="00687B03" w:rsidTr="005750EB">
        <w:trPr>
          <w:trHeight w:val="295"/>
        </w:trPr>
        <w:tc>
          <w:tcPr>
            <w:tcW w:w="426" w:type="dxa"/>
          </w:tcPr>
          <w:p w:rsidR="00146B0B" w:rsidRPr="00383ECB" w:rsidRDefault="00146B0B" w:rsidP="005750EB">
            <w:pPr>
              <w:pStyle w:val="TableParagraph"/>
              <w:spacing w:before="1" w:line="238" w:lineRule="exact"/>
              <w:ind w:left="54"/>
            </w:pPr>
            <w:r w:rsidRPr="00383ECB">
              <w:t>2</w:t>
            </w:r>
          </w:p>
        </w:tc>
        <w:tc>
          <w:tcPr>
            <w:tcW w:w="3544" w:type="dxa"/>
            <w:vAlign w:val="center"/>
          </w:tcPr>
          <w:p w:rsidR="00146B0B" w:rsidRPr="00383ECB" w:rsidRDefault="00146B0B" w:rsidP="005750EB">
            <w:pPr>
              <w:pStyle w:val="TableParagraph"/>
              <w:spacing w:before="1" w:line="238" w:lineRule="exact"/>
              <w:ind w:left="54"/>
            </w:pPr>
            <w:r w:rsidRPr="00383ECB">
              <w:rPr>
                <w:color w:val="000000"/>
              </w:rPr>
              <w:t>Референсний електрод</w:t>
            </w:r>
          </w:p>
        </w:tc>
        <w:tc>
          <w:tcPr>
            <w:tcW w:w="1276" w:type="dxa"/>
          </w:tcPr>
          <w:p w:rsidR="00146B0B" w:rsidRPr="00383ECB" w:rsidRDefault="00146B0B" w:rsidP="005750EB">
            <w:pPr>
              <w:pStyle w:val="TableParagraph"/>
              <w:spacing w:line="247" w:lineRule="exact"/>
              <w:ind w:left="0"/>
              <w:jc w:val="center"/>
            </w:pPr>
            <w:r w:rsidRPr="00383ECB">
              <w:t>шт</w:t>
            </w:r>
          </w:p>
        </w:tc>
        <w:tc>
          <w:tcPr>
            <w:tcW w:w="425" w:type="dxa"/>
          </w:tcPr>
          <w:p w:rsidR="00146B0B" w:rsidRPr="00383ECB" w:rsidRDefault="00146B0B" w:rsidP="005750EB">
            <w:pPr>
              <w:pStyle w:val="TableParagraph"/>
              <w:spacing w:line="247" w:lineRule="exact"/>
              <w:ind w:left="94"/>
              <w:jc w:val="both"/>
            </w:pPr>
            <w:r w:rsidRPr="00383ECB">
              <w:t>1</w:t>
            </w:r>
          </w:p>
        </w:tc>
        <w:tc>
          <w:tcPr>
            <w:tcW w:w="2551" w:type="dxa"/>
          </w:tcPr>
          <w:p w:rsidR="00146B0B" w:rsidRPr="00687B03" w:rsidRDefault="00146B0B" w:rsidP="005750EB">
            <w:pPr>
              <w:pStyle w:val="TableParagraph"/>
              <w:spacing w:line="247" w:lineRule="exact"/>
              <w:ind w:left="94"/>
              <w:jc w:val="center"/>
            </w:pPr>
          </w:p>
        </w:tc>
        <w:tc>
          <w:tcPr>
            <w:tcW w:w="764" w:type="dxa"/>
          </w:tcPr>
          <w:p w:rsidR="00146B0B" w:rsidRPr="00687B03" w:rsidRDefault="00146B0B" w:rsidP="005750EB">
            <w:pPr>
              <w:pStyle w:val="TableParagraph"/>
              <w:spacing w:line="247" w:lineRule="exact"/>
              <w:ind w:left="94"/>
              <w:jc w:val="center"/>
            </w:pPr>
          </w:p>
        </w:tc>
        <w:tc>
          <w:tcPr>
            <w:tcW w:w="937" w:type="dxa"/>
          </w:tcPr>
          <w:p w:rsidR="00146B0B" w:rsidRPr="00687B03" w:rsidRDefault="00146B0B" w:rsidP="005750EB">
            <w:pPr>
              <w:pStyle w:val="TableParagraph"/>
              <w:spacing w:line="247" w:lineRule="exact"/>
              <w:ind w:left="94"/>
              <w:jc w:val="center"/>
            </w:pPr>
          </w:p>
        </w:tc>
      </w:tr>
      <w:tr w:rsidR="00146B0B" w:rsidRPr="00687B03" w:rsidTr="005750EB">
        <w:trPr>
          <w:trHeight w:val="219"/>
        </w:trPr>
        <w:tc>
          <w:tcPr>
            <w:tcW w:w="426" w:type="dxa"/>
          </w:tcPr>
          <w:p w:rsidR="00146B0B" w:rsidRPr="00383ECB" w:rsidRDefault="00146B0B" w:rsidP="005750EB">
            <w:pPr>
              <w:pStyle w:val="TableParagraph"/>
              <w:spacing w:before="1" w:line="238" w:lineRule="exact"/>
              <w:ind w:left="54"/>
            </w:pPr>
            <w:r w:rsidRPr="00383ECB">
              <w:t>3</w:t>
            </w:r>
          </w:p>
        </w:tc>
        <w:tc>
          <w:tcPr>
            <w:tcW w:w="3544" w:type="dxa"/>
            <w:vAlign w:val="center"/>
          </w:tcPr>
          <w:p w:rsidR="00146B0B" w:rsidRPr="00383ECB" w:rsidRDefault="00146B0B" w:rsidP="005750EB">
            <w:pPr>
              <w:pStyle w:val="TableParagraph"/>
              <w:spacing w:before="1" w:line="238" w:lineRule="exact"/>
              <w:ind w:left="54"/>
            </w:pPr>
            <w:r w:rsidRPr="00383ECB">
              <w:rPr>
                <w:color w:val="000000"/>
              </w:rPr>
              <w:t xml:space="preserve">PO2 Електрод </w:t>
            </w:r>
          </w:p>
        </w:tc>
        <w:tc>
          <w:tcPr>
            <w:tcW w:w="1276" w:type="dxa"/>
          </w:tcPr>
          <w:p w:rsidR="00146B0B" w:rsidRPr="00383ECB" w:rsidRDefault="00146B0B" w:rsidP="005750EB">
            <w:pPr>
              <w:pStyle w:val="TableParagraph"/>
              <w:spacing w:line="247" w:lineRule="exact"/>
              <w:ind w:left="0"/>
              <w:jc w:val="center"/>
            </w:pPr>
            <w:r w:rsidRPr="00383ECB">
              <w:t>шт</w:t>
            </w:r>
          </w:p>
        </w:tc>
        <w:tc>
          <w:tcPr>
            <w:tcW w:w="425" w:type="dxa"/>
          </w:tcPr>
          <w:p w:rsidR="00146B0B" w:rsidRPr="00383ECB" w:rsidRDefault="00146B0B" w:rsidP="005750EB">
            <w:pPr>
              <w:pStyle w:val="TableParagraph"/>
              <w:spacing w:line="247" w:lineRule="exact"/>
              <w:ind w:left="0"/>
              <w:jc w:val="both"/>
            </w:pPr>
            <w:r w:rsidRPr="00383ECB">
              <w:t>1</w:t>
            </w:r>
          </w:p>
        </w:tc>
        <w:tc>
          <w:tcPr>
            <w:tcW w:w="2551" w:type="dxa"/>
          </w:tcPr>
          <w:p w:rsidR="00146B0B" w:rsidRPr="00687B03" w:rsidRDefault="00146B0B" w:rsidP="005750EB">
            <w:pPr>
              <w:pStyle w:val="TableParagraph"/>
              <w:spacing w:line="247" w:lineRule="exact"/>
              <w:ind w:left="94"/>
              <w:jc w:val="center"/>
            </w:pPr>
          </w:p>
        </w:tc>
        <w:tc>
          <w:tcPr>
            <w:tcW w:w="764" w:type="dxa"/>
          </w:tcPr>
          <w:p w:rsidR="00146B0B" w:rsidRPr="00687B03" w:rsidRDefault="00146B0B" w:rsidP="005750EB">
            <w:pPr>
              <w:pStyle w:val="TableParagraph"/>
              <w:spacing w:line="247" w:lineRule="exact"/>
              <w:ind w:left="94"/>
              <w:jc w:val="center"/>
            </w:pPr>
          </w:p>
        </w:tc>
        <w:tc>
          <w:tcPr>
            <w:tcW w:w="937" w:type="dxa"/>
          </w:tcPr>
          <w:p w:rsidR="00146B0B" w:rsidRPr="00B221E2" w:rsidRDefault="00146B0B" w:rsidP="005750EB">
            <w:pPr>
              <w:pStyle w:val="TableParagraph"/>
              <w:spacing w:line="247" w:lineRule="exact"/>
              <w:ind w:left="94"/>
              <w:jc w:val="center"/>
              <w:rPr>
                <w:color w:val="FF0000"/>
              </w:rPr>
            </w:pPr>
          </w:p>
        </w:tc>
      </w:tr>
      <w:tr w:rsidR="00146B0B" w:rsidRPr="00687B03" w:rsidTr="005750EB">
        <w:trPr>
          <w:trHeight w:val="222"/>
        </w:trPr>
        <w:tc>
          <w:tcPr>
            <w:tcW w:w="426" w:type="dxa"/>
          </w:tcPr>
          <w:p w:rsidR="00146B0B" w:rsidRPr="00383ECB" w:rsidRDefault="00146B0B" w:rsidP="005750EB">
            <w:pPr>
              <w:pStyle w:val="TableParagraph"/>
              <w:spacing w:before="1" w:line="238" w:lineRule="exact"/>
              <w:ind w:left="54"/>
            </w:pPr>
            <w:r w:rsidRPr="00383ECB">
              <w:t>4</w:t>
            </w:r>
          </w:p>
        </w:tc>
        <w:tc>
          <w:tcPr>
            <w:tcW w:w="3544" w:type="dxa"/>
            <w:vAlign w:val="bottom"/>
          </w:tcPr>
          <w:p w:rsidR="00146B0B" w:rsidRPr="00383ECB" w:rsidRDefault="00146B0B" w:rsidP="005750EB">
            <w:pPr>
              <w:pStyle w:val="TableParagraph"/>
              <w:spacing w:before="1" w:line="238" w:lineRule="exact"/>
              <w:ind w:left="54"/>
            </w:pPr>
            <w:r w:rsidRPr="00383ECB">
              <w:rPr>
                <w:color w:val="000000"/>
              </w:rPr>
              <w:t>PCO</w:t>
            </w:r>
            <w:r w:rsidRPr="00383ECB">
              <w:rPr>
                <w:color w:val="000000"/>
                <w:vertAlign w:val="subscript"/>
              </w:rPr>
              <w:t>2</w:t>
            </w:r>
            <w:r w:rsidRPr="00383ECB">
              <w:rPr>
                <w:color w:val="000000"/>
              </w:rPr>
              <w:t xml:space="preserve"> Електрод </w:t>
            </w:r>
          </w:p>
        </w:tc>
        <w:tc>
          <w:tcPr>
            <w:tcW w:w="1276" w:type="dxa"/>
          </w:tcPr>
          <w:p w:rsidR="00146B0B" w:rsidRPr="00383ECB" w:rsidRDefault="00146B0B" w:rsidP="005750EB">
            <w:pPr>
              <w:pStyle w:val="TableParagraph"/>
              <w:spacing w:line="247" w:lineRule="exact"/>
              <w:ind w:left="0"/>
              <w:jc w:val="center"/>
            </w:pPr>
            <w:r w:rsidRPr="00383ECB">
              <w:t>шт</w:t>
            </w:r>
          </w:p>
        </w:tc>
        <w:tc>
          <w:tcPr>
            <w:tcW w:w="425" w:type="dxa"/>
          </w:tcPr>
          <w:p w:rsidR="00146B0B" w:rsidRPr="00383ECB" w:rsidRDefault="00146B0B" w:rsidP="005750EB">
            <w:pPr>
              <w:pStyle w:val="TableParagraph"/>
              <w:spacing w:line="247" w:lineRule="exact"/>
              <w:ind w:left="0"/>
              <w:jc w:val="both"/>
            </w:pPr>
            <w:r w:rsidRPr="00383ECB">
              <w:t>1</w:t>
            </w:r>
          </w:p>
        </w:tc>
        <w:tc>
          <w:tcPr>
            <w:tcW w:w="2551" w:type="dxa"/>
          </w:tcPr>
          <w:p w:rsidR="00146B0B" w:rsidRPr="00687B03" w:rsidRDefault="00146B0B" w:rsidP="005750EB">
            <w:pPr>
              <w:pStyle w:val="TableParagraph"/>
              <w:spacing w:line="247" w:lineRule="exact"/>
              <w:ind w:left="94"/>
              <w:jc w:val="center"/>
            </w:pPr>
          </w:p>
        </w:tc>
        <w:tc>
          <w:tcPr>
            <w:tcW w:w="764" w:type="dxa"/>
          </w:tcPr>
          <w:p w:rsidR="00146B0B" w:rsidRPr="00687B03" w:rsidRDefault="00146B0B" w:rsidP="005750EB">
            <w:pPr>
              <w:pStyle w:val="TableParagraph"/>
              <w:spacing w:line="247" w:lineRule="exact"/>
              <w:ind w:left="94"/>
              <w:jc w:val="center"/>
            </w:pPr>
          </w:p>
        </w:tc>
        <w:tc>
          <w:tcPr>
            <w:tcW w:w="937" w:type="dxa"/>
          </w:tcPr>
          <w:p w:rsidR="00146B0B" w:rsidRPr="00B221E2" w:rsidRDefault="00146B0B" w:rsidP="005750EB">
            <w:pPr>
              <w:pStyle w:val="TableParagraph"/>
              <w:spacing w:line="247" w:lineRule="exact"/>
              <w:ind w:left="94"/>
              <w:jc w:val="center"/>
              <w:rPr>
                <w:color w:val="FF0000"/>
              </w:rPr>
            </w:pPr>
          </w:p>
        </w:tc>
      </w:tr>
      <w:tr w:rsidR="00146B0B" w:rsidRPr="00687B03" w:rsidTr="005750EB">
        <w:trPr>
          <w:trHeight w:val="222"/>
        </w:trPr>
        <w:tc>
          <w:tcPr>
            <w:tcW w:w="426" w:type="dxa"/>
          </w:tcPr>
          <w:p w:rsidR="00146B0B" w:rsidRPr="00383ECB" w:rsidRDefault="00146B0B" w:rsidP="005750EB">
            <w:pPr>
              <w:pStyle w:val="TableParagraph"/>
              <w:spacing w:before="1" w:line="238" w:lineRule="exact"/>
              <w:ind w:left="54"/>
            </w:pPr>
            <w:r w:rsidRPr="00383ECB">
              <w:t>5</w:t>
            </w:r>
          </w:p>
        </w:tc>
        <w:tc>
          <w:tcPr>
            <w:tcW w:w="3544" w:type="dxa"/>
            <w:vAlign w:val="center"/>
          </w:tcPr>
          <w:p w:rsidR="00146B0B" w:rsidRPr="00383ECB" w:rsidRDefault="00146B0B" w:rsidP="005750EB">
            <w:pPr>
              <w:pStyle w:val="TableParagraph"/>
              <w:spacing w:before="1" w:line="238" w:lineRule="exact"/>
              <w:ind w:left="54"/>
            </w:pPr>
            <w:r w:rsidRPr="00383ECB">
              <w:rPr>
                <w:color w:val="000000"/>
              </w:rPr>
              <w:t xml:space="preserve">pH Електрод </w:t>
            </w:r>
          </w:p>
        </w:tc>
        <w:tc>
          <w:tcPr>
            <w:tcW w:w="1276" w:type="dxa"/>
          </w:tcPr>
          <w:p w:rsidR="00146B0B" w:rsidRPr="00383ECB" w:rsidRDefault="00146B0B" w:rsidP="005750EB">
            <w:pPr>
              <w:pStyle w:val="TableParagraph"/>
              <w:spacing w:line="247" w:lineRule="exact"/>
              <w:ind w:left="0"/>
              <w:jc w:val="center"/>
            </w:pPr>
            <w:r w:rsidRPr="00383ECB">
              <w:t>шт</w:t>
            </w:r>
          </w:p>
        </w:tc>
        <w:tc>
          <w:tcPr>
            <w:tcW w:w="425" w:type="dxa"/>
          </w:tcPr>
          <w:p w:rsidR="00146B0B" w:rsidRPr="00383ECB" w:rsidRDefault="00146B0B" w:rsidP="005750EB">
            <w:pPr>
              <w:pStyle w:val="TableParagraph"/>
              <w:spacing w:line="247" w:lineRule="exact"/>
              <w:ind w:left="0"/>
              <w:jc w:val="both"/>
            </w:pPr>
            <w:r w:rsidRPr="00383ECB">
              <w:t>1</w:t>
            </w:r>
          </w:p>
        </w:tc>
        <w:tc>
          <w:tcPr>
            <w:tcW w:w="2551" w:type="dxa"/>
          </w:tcPr>
          <w:p w:rsidR="00146B0B" w:rsidRPr="00687B03" w:rsidRDefault="00146B0B" w:rsidP="005750EB">
            <w:pPr>
              <w:pStyle w:val="TableParagraph"/>
              <w:spacing w:line="247" w:lineRule="exact"/>
              <w:ind w:left="94"/>
              <w:jc w:val="center"/>
            </w:pPr>
          </w:p>
        </w:tc>
        <w:tc>
          <w:tcPr>
            <w:tcW w:w="764" w:type="dxa"/>
          </w:tcPr>
          <w:p w:rsidR="00146B0B" w:rsidRPr="00687B03" w:rsidRDefault="00146B0B" w:rsidP="005750EB">
            <w:pPr>
              <w:pStyle w:val="TableParagraph"/>
              <w:spacing w:line="247" w:lineRule="exact"/>
              <w:ind w:left="94"/>
              <w:jc w:val="center"/>
            </w:pPr>
          </w:p>
        </w:tc>
        <w:tc>
          <w:tcPr>
            <w:tcW w:w="937" w:type="dxa"/>
          </w:tcPr>
          <w:p w:rsidR="00146B0B" w:rsidRPr="00687B03" w:rsidRDefault="00146B0B" w:rsidP="005750EB">
            <w:pPr>
              <w:pStyle w:val="TableParagraph"/>
              <w:spacing w:line="247" w:lineRule="exact"/>
              <w:ind w:left="94"/>
              <w:jc w:val="center"/>
            </w:pPr>
          </w:p>
        </w:tc>
      </w:tr>
      <w:tr w:rsidR="00146B0B" w:rsidRPr="00687B03" w:rsidTr="005750EB">
        <w:trPr>
          <w:trHeight w:val="222"/>
        </w:trPr>
        <w:tc>
          <w:tcPr>
            <w:tcW w:w="426" w:type="dxa"/>
          </w:tcPr>
          <w:p w:rsidR="00146B0B" w:rsidRPr="00383ECB" w:rsidRDefault="00146B0B" w:rsidP="005750EB">
            <w:pPr>
              <w:pStyle w:val="TableParagraph"/>
              <w:spacing w:before="1" w:line="238" w:lineRule="exact"/>
              <w:ind w:left="54"/>
            </w:pPr>
            <w:r w:rsidRPr="00383ECB">
              <w:t>6</w:t>
            </w:r>
          </w:p>
        </w:tc>
        <w:tc>
          <w:tcPr>
            <w:tcW w:w="3544" w:type="dxa"/>
            <w:vAlign w:val="center"/>
          </w:tcPr>
          <w:p w:rsidR="00146B0B" w:rsidRPr="00383ECB" w:rsidRDefault="00146B0B" w:rsidP="005750EB">
            <w:pPr>
              <w:pStyle w:val="TableParagraph"/>
              <w:spacing w:before="1" w:line="238" w:lineRule="exact"/>
              <w:ind w:left="54"/>
            </w:pPr>
            <w:r>
              <w:rPr>
                <w:color w:val="000000"/>
              </w:rPr>
              <w:t xml:space="preserve">Набір матеріалів контрольних для газів крові та електролітів, </w:t>
            </w:r>
            <w:r w:rsidRPr="00383ECB">
              <w:rPr>
                <w:color w:val="000000"/>
              </w:rPr>
              <w:t xml:space="preserve">рівень 1 </w:t>
            </w:r>
          </w:p>
        </w:tc>
        <w:tc>
          <w:tcPr>
            <w:tcW w:w="1276" w:type="dxa"/>
          </w:tcPr>
          <w:p w:rsidR="00146B0B" w:rsidRPr="00383ECB" w:rsidRDefault="00146B0B" w:rsidP="005750EB">
            <w:pPr>
              <w:pStyle w:val="TableParagraph"/>
              <w:spacing w:line="247" w:lineRule="exact"/>
              <w:ind w:left="0"/>
              <w:jc w:val="center"/>
            </w:pPr>
            <w:r w:rsidRPr="00383ECB">
              <w:t>Пак/уп/пач</w:t>
            </w:r>
          </w:p>
        </w:tc>
        <w:tc>
          <w:tcPr>
            <w:tcW w:w="425" w:type="dxa"/>
          </w:tcPr>
          <w:p w:rsidR="00146B0B" w:rsidRPr="00383ECB" w:rsidRDefault="00146B0B" w:rsidP="005750EB">
            <w:pPr>
              <w:pStyle w:val="TableParagraph"/>
              <w:spacing w:line="247" w:lineRule="exact"/>
              <w:ind w:left="0"/>
              <w:jc w:val="both"/>
            </w:pPr>
            <w:r w:rsidRPr="00383ECB">
              <w:t>1</w:t>
            </w:r>
          </w:p>
        </w:tc>
        <w:tc>
          <w:tcPr>
            <w:tcW w:w="2551" w:type="dxa"/>
          </w:tcPr>
          <w:p w:rsidR="00146B0B" w:rsidRPr="00687B03" w:rsidRDefault="00146B0B" w:rsidP="005750EB">
            <w:pPr>
              <w:pStyle w:val="TableParagraph"/>
              <w:spacing w:line="247" w:lineRule="exact"/>
              <w:ind w:left="94"/>
              <w:jc w:val="center"/>
            </w:pPr>
          </w:p>
        </w:tc>
        <w:tc>
          <w:tcPr>
            <w:tcW w:w="764" w:type="dxa"/>
          </w:tcPr>
          <w:p w:rsidR="00146B0B" w:rsidRPr="00687B03" w:rsidRDefault="00146B0B" w:rsidP="005750EB">
            <w:pPr>
              <w:pStyle w:val="TableParagraph"/>
              <w:spacing w:line="247" w:lineRule="exact"/>
              <w:ind w:left="94"/>
              <w:jc w:val="center"/>
            </w:pPr>
          </w:p>
        </w:tc>
        <w:tc>
          <w:tcPr>
            <w:tcW w:w="937" w:type="dxa"/>
          </w:tcPr>
          <w:p w:rsidR="00146B0B" w:rsidRPr="00687B03" w:rsidRDefault="00146B0B" w:rsidP="005750EB">
            <w:pPr>
              <w:pStyle w:val="TableParagraph"/>
              <w:spacing w:line="247" w:lineRule="exact"/>
              <w:ind w:left="94"/>
              <w:jc w:val="center"/>
            </w:pPr>
          </w:p>
        </w:tc>
      </w:tr>
      <w:tr w:rsidR="00146B0B" w:rsidRPr="00687B03" w:rsidTr="005750EB">
        <w:trPr>
          <w:trHeight w:val="222"/>
        </w:trPr>
        <w:tc>
          <w:tcPr>
            <w:tcW w:w="426" w:type="dxa"/>
          </w:tcPr>
          <w:p w:rsidR="00146B0B" w:rsidRPr="00383ECB" w:rsidRDefault="00146B0B" w:rsidP="005750EB">
            <w:pPr>
              <w:pStyle w:val="TableParagraph"/>
              <w:spacing w:before="1" w:line="238" w:lineRule="exact"/>
              <w:ind w:left="54"/>
            </w:pPr>
            <w:r w:rsidRPr="00383ECB">
              <w:t>7</w:t>
            </w:r>
          </w:p>
        </w:tc>
        <w:tc>
          <w:tcPr>
            <w:tcW w:w="3544" w:type="dxa"/>
            <w:vAlign w:val="center"/>
          </w:tcPr>
          <w:p w:rsidR="00146B0B" w:rsidRPr="00383ECB" w:rsidRDefault="00146B0B" w:rsidP="005750EB">
            <w:pPr>
              <w:pStyle w:val="TableParagraph"/>
              <w:spacing w:before="1" w:line="238" w:lineRule="exact"/>
              <w:ind w:left="54"/>
            </w:pPr>
            <w:r>
              <w:rPr>
                <w:color w:val="000000"/>
              </w:rPr>
              <w:t xml:space="preserve">Набір матеріалів контрольних для газів крові та електролітів, </w:t>
            </w:r>
            <w:r w:rsidRPr="00383ECB">
              <w:rPr>
                <w:color w:val="000000"/>
              </w:rPr>
              <w:t xml:space="preserve">рівень 2 </w:t>
            </w:r>
          </w:p>
        </w:tc>
        <w:tc>
          <w:tcPr>
            <w:tcW w:w="1276" w:type="dxa"/>
          </w:tcPr>
          <w:p w:rsidR="00146B0B" w:rsidRPr="00383ECB" w:rsidRDefault="00146B0B" w:rsidP="005750EB">
            <w:pPr>
              <w:pStyle w:val="TableParagraph"/>
              <w:spacing w:line="247" w:lineRule="exact"/>
              <w:ind w:left="0"/>
              <w:jc w:val="center"/>
            </w:pPr>
            <w:r w:rsidRPr="00383ECB">
              <w:t>Пак/уп/пач</w:t>
            </w:r>
          </w:p>
        </w:tc>
        <w:tc>
          <w:tcPr>
            <w:tcW w:w="425" w:type="dxa"/>
          </w:tcPr>
          <w:p w:rsidR="00146B0B" w:rsidRPr="00383ECB" w:rsidRDefault="00146B0B" w:rsidP="005750EB">
            <w:pPr>
              <w:pStyle w:val="TableParagraph"/>
              <w:spacing w:line="247" w:lineRule="exact"/>
              <w:ind w:left="0"/>
              <w:jc w:val="both"/>
            </w:pPr>
            <w:r w:rsidRPr="00383ECB">
              <w:t>1</w:t>
            </w:r>
          </w:p>
        </w:tc>
        <w:tc>
          <w:tcPr>
            <w:tcW w:w="2551" w:type="dxa"/>
          </w:tcPr>
          <w:p w:rsidR="00146B0B" w:rsidRPr="00687B03" w:rsidRDefault="00146B0B" w:rsidP="005750EB">
            <w:pPr>
              <w:pStyle w:val="TableParagraph"/>
              <w:spacing w:line="247" w:lineRule="exact"/>
              <w:ind w:left="94"/>
              <w:jc w:val="center"/>
            </w:pPr>
          </w:p>
        </w:tc>
        <w:tc>
          <w:tcPr>
            <w:tcW w:w="764" w:type="dxa"/>
          </w:tcPr>
          <w:p w:rsidR="00146B0B" w:rsidRPr="00687B03" w:rsidRDefault="00146B0B" w:rsidP="005750EB">
            <w:pPr>
              <w:pStyle w:val="TableParagraph"/>
              <w:spacing w:line="247" w:lineRule="exact"/>
              <w:ind w:left="94"/>
              <w:jc w:val="center"/>
            </w:pPr>
          </w:p>
        </w:tc>
        <w:tc>
          <w:tcPr>
            <w:tcW w:w="937" w:type="dxa"/>
          </w:tcPr>
          <w:p w:rsidR="00146B0B" w:rsidRPr="00687B03" w:rsidRDefault="00146B0B" w:rsidP="005750EB">
            <w:pPr>
              <w:pStyle w:val="TableParagraph"/>
              <w:spacing w:line="247" w:lineRule="exact"/>
              <w:ind w:left="94"/>
              <w:jc w:val="center"/>
            </w:pPr>
          </w:p>
        </w:tc>
      </w:tr>
      <w:tr w:rsidR="00146B0B" w:rsidRPr="00687B03" w:rsidTr="005750EB">
        <w:trPr>
          <w:trHeight w:val="222"/>
        </w:trPr>
        <w:tc>
          <w:tcPr>
            <w:tcW w:w="426" w:type="dxa"/>
          </w:tcPr>
          <w:p w:rsidR="00146B0B" w:rsidRPr="00383ECB" w:rsidRDefault="00146B0B" w:rsidP="005750EB">
            <w:pPr>
              <w:pStyle w:val="TableParagraph"/>
              <w:spacing w:before="1" w:line="238" w:lineRule="exact"/>
              <w:ind w:left="54"/>
            </w:pPr>
            <w:r w:rsidRPr="00383ECB">
              <w:t>8</w:t>
            </w:r>
          </w:p>
        </w:tc>
        <w:tc>
          <w:tcPr>
            <w:tcW w:w="3544" w:type="dxa"/>
          </w:tcPr>
          <w:p w:rsidR="00146B0B" w:rsidRPr="00383ECB" w:rsidRDefault="00146B0B" w:rsidP="005750EB">
            <w:pPr>
              <w:pStyle w:val="TableParagraph"/>
              <w:spacing w:before="1" w:line="238" w:lineRule="exact"/>
              <w:ind w:left="54"/>
            </w:pPr>
            <w:r>
              <w:rPr>
                <w:color w:val="000000"/>
              </w:rPr>
              <w:t xml:space="preserve">Набір матеріалів контрольних для газів крові та електролітів, </w:t>
            </w:r>
            <w:r w:rsidRPr="00383ECB">
              <w:rPr>
                <w:color w:val="000000"/>
              </w:rPr>
              <w:t xml:space="preserve">рівень 3 </w:t>
            </w:r>
          </w:p>
        </w:tc>
        <w:tc>
          <w:tcPr>
            <w:tcW w:w="1276" w:type="dxa"/>
          </w:tcPr>
          <w:p w:rsidR="00146B0B" w:rsidRPr="00383ECB" w:rsidRDefault="00146B0B" w:rsidP="005750EB">
            <w:pPr>
              <w:pStyle w:val="TableParagraph"/>
              <w:spacing w:line="247" w:lineRule="exact"/>
              <w:ind w:left="0"/>
              <w:jc w:val="center"/>
            </w:pPr>
            <w:r w:rsidRPr="00383ECB">
              <w:t>Пак/уп/пач</w:t>
            </w:r>
          </w:p>
        </w:tc>
        <w:tc>
          <w:tcPr>
            <w:tcW w:w="425" w:type="dxa"/>
          </w:tcPr>
          <w:p w:rsidR="00146B0B" w:rsidRPr="00383ECB" w:rsidRDefault="00146B0B" w:rsidP="005750EB">
            <w:pPr>
              <w:pStyle w:val="TableParagraph"/>
              <w:spacing w:line="247" w:lineRule="exact"/>
              <w:ind w:left="0"/>
              <w:jc w:val="both"/>
            </w:pPr>
            <w:r w:rsidRPr="00383ECB">
              <w:t>1</w:t>
            </w:r>
          </w:p>
        </w:tc>
        <w:tc>
          <w:tcPr>
            <w:tcW w:w="2551" w:type="dxa"/>
          </w:tcPr>
          <w:p w:rsidR="00146B0B" w:rsidRPr="00687B03" w:rsidRDefault="00146B0B" w:rsidP="005750EB">
            <w:pPr>
              <w:pStyle w:val="TableParagraph"/>
              <w:spacing w:line="247" w:lineRule="exact"/>
              <w:ind w:left="94"/>
              <w:jc w:val="center"/>
            </w:pPr>
          </w:p>
        </w:tc>
        <w:tc>
          <w:tcPr>
            <w:tcW w:w="764" w:type="dxa"/>
          </w:tcPr>
          <w:p w:rsidR="00146B0B" w:rsidRPr="00687B03" w:rsidRDefault="00146B0B" w:rsidP="005750EB">
            <w:pPr>
              <w:pStyle w:val="TableParagraph"/>
              <w:spacing w:line="247" w:lineRule="exact"/>
              <w:ind w:left="94"/>
              <w:jc w:val="center"/>
            </w:pPr>
          </w:p>
        </w:tc>
        <w:tc>
          <w:tcPr>
            <w:tcW w:w="937" w:type="dxa"/>
          </w:tcPr>
          <w:p w:rsidR="00146B0B" w:rsidRPr="00687B03" w:rsidRDefault="00146B0B" w:rsidP="005750EB">
            <w:pPr>
              <w:pStyle w:val="TableParagraph"/>
              <w:spacing w:line="247" w:lineRule="exact"/>
              <w:ind w:left="94"/>
              <w:jc w:val="center"/>
            </w:pPr>
          </w:p>
        </w:tc>
      </w:tr>
      <w:tr w:rsidR="00146B0B" w:rsidRPr="00687B03" w:rsidTr="005750EB">
        <w:trPr>
          <w:trHeight w:val="222"/>
        </w:trPr>
        <w:tc>
          <w:tcPr>
            <w:tcW w:w="426" w:type="dxa"/>
          </w:tcPr>
          <w:p w:rsidR="00146B0B" w:rsidRPr="00383ECB" w:rsidRDefault="00146B0B" w:rsidP="005750EB">
            <w:pPr>
              <w:pStyle w:val="TableParagraph"/>
              <w:spacing w:before="1" w:line="238" w:lineRule="exact"/>
              <w:ind w:left="54"/>
            </w:pPr>
            <w:r w:rsidRPr="00383ECB">
              <w:t>9</w:t>
            </w:r>
          </w:p>
        </w:tc>
        <w:tc>
          <w:tcPr>
            <w:tcW w:w="3544" w:type="dxa"/>
            <w:vAlign w:val="bottom"/>
          </w:tcPr>
          <w:p w:rsidR="00146B0B" w:rsidRPr="00383ECB" w:rsidRDefault="00146B0B" w:rsidP="005750EB">
            <w:pPr>
              <w:pStyle w:val="TableParagraph"/>
              <w:spacing w:before="1" w:line="238" w:lineRule="exact"/>
              <w:ind w:left="54"/>
            </w:pPr>
            <w:r w:rsidRPr="00383ECB">
              <w:rPr>
                <w:color w:val="000000"/>
              </w:rPr>
              <w:t xml:space="preserve">Набір розчинів для щоденної промивки/очистки </w:t>
            </w:r>
          </w:p>
        </w:tc>
        <w:tc>
          <w:tcPr>
            <w:tcW w:w="1276" w:type="dxa"/>
          </w:tcPr>
          <w:p w:rsidR="00146B0B" w:rsidRPr="00383ECB" w:rsidRDefault="00146B0B" w:rsidP="005750EB">
            <w:pPr>
              <w:pStyle w:val="TableParagraph"/>
              <w:spacing w:line="247" w:lineRule="exact"/>
              <w:ind w:left="0"/>
              <w:jc w:val="center"/>
            </w:pPr>
            <w:r w:rsidRPr="00383ECB">
              <w:t>Компл/набір</w:t>
            </w:r>
          </w:p>
        </w:tc>
        <w:tc>
          <w:tcPr>
            <w:tcW w:w="425" w:type="dxa"/>
          </w:tcPr>
          <w:p w:rsidR="00146B0B" w:rsidRPr="00383ECB" w:rsidRDefault="00146B0B" w:rsidP="005750EB">
            <w:pPr>
              <w:pStyle w:val="TableParagraph"/>
              <w:spacing w:line="247" w:lineRule="exact"/>
              <w:ind w:left="94"/>
            </w:pPr>
            <w:r w:rsidRPr="00383ECB">
              <w:t>1</w:t>
            </w:r>
          </w:p>
        </w:tc>
        <w:tc>
          <w:tcPr>
            <w:tcW w:w="2551" w:type="dxa"/>
          </w:tcPr>
          <w:p w:rsidR="00146B0B" w:rsidRPr="00687B03" w:rsidRDefault="00146B0B" w:rsidP="005750EB">
            <w:pPr>
              <w:pStyle w:val="TableParagraph"/>
              <w:spacing w:line="247" w:lineRule="exact"/>
              <w:ind w:left="94"/>
              <w:jc w:val="center"/>
            </w:pPr>
          </w:p>
        </w:tc>
        <w:tc>
          <w:tcPr>
            <w:tcW w:w="764" w:type="dxa"/>
          </w:tcPr>
          <w:p w:rsidR="00146B0B" w:rsidRPr="00687B03" w:rsidRDefault="00146B0B" w:rsidP="005750EB">
            <w:pPr>
              <w:pStyle w:val="TableParagraph"/>
              <w:spacing w:line="247" w:lineRule="exact"/>
              <w:ind w:left="94"/>
              <w:jc w:val="center"/>
            </w:pPr>
          </w:p>
        </w:tc>
        <w:tc>
          <w:tcPr>
            <w:tcW w:w="937" w:type="dxa"/>
          </w:tcPr>
          <w:p w:rsidR="00146B0B" w:rsidRPr="00687B03" w:rsidRDefault="00146B0B" w:rsidP="005750EB">
            <w:pPr>
              <w:pStyle w:val="TableParagraph"/>
              <w:spacing w:line="247" w:lineRule="exact"/>
              <w:ind w:left="94"/>
              <w:jc w:val="center"/>
            </w:pPr>
          </w:p>
        </w:tc>
      </w:tr>
    </w:tbl>
    <w:p w:rsidR="00146B0B" w:rsidRDefault="00146B0B" w:rsidP="00146B0B">
      <w:pPr>
        <w:tabs>
          <w:tab w:val="left" w:pos="284"/>
        </w:tabs>
        <w:spacing w:after="0" w:line="240" w:lineRule="auto"/>
        <w:jc w:val="both"/>
        <w:rPr>
          <w:rFonts w:ascii="Times New Roman" w:hAnsi="Times New Roman"/>
          <w:b/>
          <w:sz w:val="28"/>
          <w:szCs w:val="28"/>
        </w:rPr>
      </w:pPr>
    </w:p>
    <w:p w:rsidR="00146B0B" w:rsidRPr="00CD41DA" w:rsidRDefault="00146B0B" w:rsidP="00146B0B">
      <w:pPr>
        <w:tabs>
          <w:tab w:val="left" w:pos="284"/>
        </w:tabs>
        <w:spacing w:after="0" w:line="240" w:lineRule="auto"/>
        <w:jc w:val="both"/>
        <w:rPr>
          <w:rFonts w:ascii="Times New Roman" w:hAnsi="Times New Roman"/>
          <w:b/>
          <w:sz w:val="28"/>
          <w:szCs w:val="28"/>
        </w:rPr>
      </w:pPr>
    </w:p>
    <w:tbl>
      <w:tblPr>
        <w:tblW w:w="10773" w:type="dxa"/>
        <w:tblInd w:w="-1139" w:type="dxa"/>
        <w:tblLayout w:type="fixed"/>
        <w:tblLook w:val="04A0" w:firstRow="1" w:lastRow="0" w:firstColumn="1" w:lastColumn="0" w:noHBand="0" w:noVBand="1"/>
      </w:tblPr>
      <w:tblGrid>
        <w:gridCol w:w="425"/>
        <w:gridCol w:w="1843"/>
        <w:gridCol w:w="6379"/>
        <w:gridCol w:w="2126"/>
      </w:tblGrid>
      <w:tr w:rsidR="00146B0B" w:rsidRPr="00506D21" w:rsidTr="005750EB">
        <w:tc>
          <w:tcPr>
            <w:tcW w:w="425" w:type="dxa"/>
            <w:tcBorders>
              <w:top w:val="single" w:sz="4" w:space="0" w:color="auto"/>
              <w:left w:val="single" w:sz="4" w:space="0" w:color="auto"/>
              <w:bottom w:val="single" w:sz="4" w:space="0" w:color="auto"/>
              <w:right w:val="single" w:sz="4" w:space="0" w:color="auto"/>
            </w:tcBorders>
            <w:vAlign w:val="center"/>
            <w:hideMark/>
          </w:tcPr>
          <w:p w:rsidR="00146B0B" w:rsidRPr="00E247B6" w:rsidRDefault="00146B0B" w:rsidP="005750EB">
            <w:pPr>
              <w:spacing w:after="0" w:line="240" w:lineRule="auto"/>
              <w:rPr>
                <w:rFonts w:ascii="Times New Roman" w:hAnsi="Times New Roman"/>
                <w:bCs/>
                <w:sz w:val="18"/>
                <w:szCs w:val="18"/>
              </w:rPr>
            </w:pPr>
            <w:r w:rsidRPr="00E247B6">
              <w:rPr>
                <w:rFonts w:ascii="Times New Roman" w:hAnsi="Times New Roman"/>
                <w:bCs/>
                <w:sz w:val="18"/>
                <w:szCs w:val="18"/>
              </w:rPr>
              <w:t>№ з/п</w:t>
            </w:r>
          </w:p>
        </w:tc>
        <w:tc>
          <w:tcPr>
            <w:tcW w:w="1843" w:type="dxa"/>
            <w:tcBorders>
              <w:top w:val="single" w:sz="4" w:space="0" w:color="auto"/>
              <w:left w:val="nil"/>
              <w:bottom w:val="single" w:sz="4" w:space="0" w:color="auto"/>
              <w:right w:val="single" w:sz="4" w:space="0" w:color="auto"/>
            </w:tcBorders>
            <w:vAlign w:val="center"/>
            <w:hideMark/>
          </w:tcPr>
          <w:p w:rsidR="00146B0B" w:rsidRPr="00E247B6" w:rsidRDefault="00146B0B" w:rsidP="005750EB">
            <w:pPr>
              <w:spacing w:after="0" w:line="240" w:lineRule="auto"/>
              <w:rPr>
                <w:rFonts w:ascii="Times New Roman" w:hAnsi="Times New Roman"/>
                <w:bCs/>
                <w:sz w:val="18"/>
                <w:szCs w:val="18"/>
              </w:rPr>
            </w:pPr>
            <w:r w:rsidRPr="00E247B6">
              <w:rPr>
                <w:rFonts w:ascii="Times New Roman" w:hAnsi="Times New Roman"/>
                <w:bCs/>
                <w:sz w:val="18"/>
                <w:szCs w:val="18"/>
              </w:rPr>
              <w:t>Предмет   закупівлі</w:t>
            </w:r>
          </w:p>
        </w:tc>
        <w:tc>
          <w:tcPr>
            <w:tcW w:w="6379" w:type="dxa"/>
            <w:tcBorders>
              <w:top w:val="single" w:sz="4" w:space="0" w:color="auto"/>
              <w:left w:val="single" w:sz="4" w:space="0" w:color="auto"/>
              <w:bottom w:val="single" w:sz="4" w:space="0" w:color="auto"/>
              <w:right w:val="single" w:sz="4" w:space="0" w:color="auto"/>
            </w:tcBorders>
          </w:tcPr>
          <w:p w:rsidR="00146B0B" w:rsidRPr="00E247B6" w:rsidRDefault="00146B0B" w:rsidP="005750EB">
            <w:pPr>
              <w:spacing w:after="0" w:line="240" w:lineRule="auto"/>
              <w:rPr>
                <w:rFonts w:ascii="Times New Roman" w:hAnsi="Times New Roman"/>
                <w:bCs/>
                <w:sz w:val="18"/>
                <w:szCs w:val="18"/>
              </w:rPr>
            </w:pPr>
            <w:r w:rsidRPr="00E247B6">
              <w:rPr>
                <w:rFonts w:ascii="Times New Roman" w:hAnsi="Times New Roman"/>
                <w:bCs/>
                <w:sz w:val="18"/>
                <w:szCs w:val="18"/>
              </w:rPr>
              <w:t xml:space="preserve">Медико-технічні вимоги </w:t>
            </w:r>
            <w:r w:rsidRPr="00E247B6">
              <w:rPr>
                <w:rFonts w:ascii="Times New Roman" w:hAnsi="Times New Roman"/>
                <w:sz w:val="18"/>
                <w:szCs w:val="18"/>
              </w:rPr>
              <w:t>(опис предмета закупівлі)</w:t>
            </w:r>
          </w:p>
        </w:tc>
        <w:tc>
          <w:tcPr>
            <w:tcW w:w="2126" w:type="dxa"/>
            <w:tcBorders>
              <w:top w:val="single" w:sz="4" w:space="0" w:color="auto"/>
              <w:left w:val="nil"/>
              <w:bottom w:val="single" w:sz="4" w:space="0" w:color="auto"/>
              <w:right w:val="single" w:sz="4" w:space="0" w:color="auto"/>
            </w:tcBorders>
          </w:tcPr>
          <w:p w:rsidR="00146B0B" w:rsidRPr="00E247B6" w:rsidRDefault="00146B0B" w:rsidP="005750EB">
            <w:pPr>
              <w:spacing w:after="0" w:line="240" w:lineRule="auto"/>
              <w:rPr>
                <w:rFonts w:ascii="Times New Roman" w:hAnsi="Times New Roman"/>
                <w:bCs/>
                <w:sz w:val="18"/>
                <w:szCs w:val="18"/>
              </w:rPr>
            </w:pPr>
            <w:r w:rsidRPr="00E247B6">
              <w:rPr>
                <w:rFonts w:ascii="Times New Roman" w:hAnsi="Times New Roman"/>
                <w:sz w:val="18"/>
                <w:szCs w:val="18"/>
              </w:rPr>
              <w:t>Відповідність (так/ні) з посиланням на відповідні розділ(и), та/або сторінку(и) відповідного документу</w:t>
            </w:r>
          </w:p>
        </w:tc>
      </w:tr>
      <w:tr w:rsidR="00146B0B" w:rsidRPr="00506D21" w:rsidTr="005750EB">
        <w:trPr>
          <w:trHeight w:val="817"/>
        </w:trPr>
        <w:tc>
          <w:tcPr>
            <w:tcW w:w="425" w:type="dxa"/>
            <w:tcBorders>
              <w:top w:val="single" w:sz="4" w:space="0" w:color="auto"/>
              <w:left w:val="single" w:sz="4" w:space="0" w:color="auto"/>
              <w:bottom w:val="single" w:sz="4" w:space="0" w:color="auto"/>
              <w:right w:val="single" w:sz="4" w:space="0" w:color="auto"/>
            </w:tcBorders>
          </w:tcPr>
          <w:p w:rsidR="00146B0B" w:rsidRPr="00506D21" w:rsidRDefault="00146B0B" w:rsidP="005750EB">
            <w:pPr>
              <w:spacing w:after="0" w:line="240" w:lineRule="auto"/>
              <w:jc w:val="right"/>
              <w:rPr>
                <w:rFonts w:ascii="Times New Roman" w:hAnsi="Times New Roman"/>
              </w:rPr>
            </w:pPr>
            <w:r w:rsidRPr="00506D21">
              <w:rPr>
                <w:rFonts w:ascii="Times New Roman" w:hAnsi="Times New Roman"/>
              </w:rPr>
              <w:lastRenderedPageBreak/>
              <w:t>1</w:t>
            </w:r>
          </w:p>
        </w:tc>
        <w:tc>
          <w:tcPr>
            <w:tcW w:w="1843" w:type="dxa"/>
            <w:tcBorders>
              <w:top w:val="single" w:sz="4" w:space="0" w:color="auto"/>
              <w:left w:val="nil"/>
              <w:bottom w:val="single" w:sz="4" w:space="0" w:color="auto"/>
              <w:right w:val="single" w:sz="4" w:space="0" w:color="auto"/>
            </w:tcBorders>
            <w:vAlign w:val="center"/>
          </w:tcPr>
          <w:p w:rsidR="00146B0B" w:rsidRPr="00506D21" w:rsidRDefault="00146B0B" w:rsidP="005750EB">
            <w:pPr>
              <w:pStyle w:val="a3"/>
              <w:spacing w:after="0"/>
              <w:ind w:left="0"/>
              <w:rPr>
                <w:sz w:val="22"/>
                <w:szCs w:val="22"/>
                <w:lang w:eastAsia="ru-RU"/>
              </w:rPr>
            </w:pPr>
            <w:r>
              <w:rPr>
                <w:color w:val="000000"/>
              </w:rPr>
              <w:t>Реагентний</w:t>
            </w:r>
            <w:r w:rsidRPr="00E9032F">
              <w:rPr>
                <w:color w:val="000000"/>
                <w:lang w:val="en-US"/>
              </w:rPr>
              <w:t xml:space="preserve"> </w:t>
            </w:r>
            <w:r>
              <w:rPr>
                <w:color w:val="000000"/>
              </w:rPr>
              <w:t>модуль</w:t>
            </w:r>
            <w:r w:rsidRPr="00E9032F">
              <w:rPr>
                <w:color w:val="000000"/>
                <w:lang w:val="en-US"/>
              </w:rPr>
              <w:t xml:space="preserve"> </w:t>
            </w:r>
          </w:p>
        </w:tc>
        <w:tc>
          <w:tcPr>
            <w:tcW w:w="6379" w:type="dxa"/>
            <w:tcBorders>
              <w:top w:val="single" w:sz="4" w:space="0" w:color="auto"/>
              <w:left w:val="single" w:sz="4" w:space="0" w:color="auto"/>
              <w:bottom w:val="single" w:sz="4" w:space="0" w:color="auto"/>
              <w:right w:val="single" w:sz="4" w:space="0" w:color="auto"/>
            </w:tcBorders>
          </w:tcPr>
          <w:p w:rsidR="00146B0B" w:rsidRPr="00C833AF" w:rsidRDefault="00146B0B" w:rsidP="005750EB">
            <w:pPr>
              <w:spacing w:line="240" w:lineRule="auto"/>
              <w:rPr>
                <w:rFonts w:ascii="Times New Roman" w:hAnsi="Times New Roman"/>
              </w:rPr>
            </w:pPr>
            <w:r w:rsidRPr="0034325A">
              <w:rPr>
                <w:rFonts w:ascii="Times New Roman" w:hAnsi="Times New Roman"/>
              </w:rPr>
              <w:t>Реагентний модуль</w:t>
            </w:r>
            <w:r>
              <w:rPr>
                <w:rFonts w:ascii="Times New Roman" w:hAnsi="Times New Roman"/>
              </w:rPr>
              <w:t xml:space="preserve">. </w:t>
            </w:r>
            <w:r w:rsidRPr="0034325A">
              <w:rPr>
                <w:rFonts w:ascii="Times New Roman" w:hAnsi="Times New Roman"/>
              </w:rPr>
              <w:t xml:space="preserve"> </w:t>
            </w:r>
            <w:r>
              <w:rPr>
                <w:rFonts w:ascii="Times New Roman" w:hAnsi="Times New Roman"/>
              </w:rPr>
              <w:t>Склад: Калібрувальний розчин А, 720мл; Калібрувальний розчин В, 415мл; Калібрувальний розчин С, 555 мл.</w:t>
            </w:r>
          </w:p>
        </w:tc>
        <w:tc>
          <w:tcPr>
            <w:tcW w:w="2126" w:type="dxa"/>
            <w:tcBorders>
              <w:top w:val="single" w:sz="4" w:space="0" w:color="auto"/>
              <w:left w:val="nil"/>
              <w:bottom w:val="single" w:sz="4" w:space="0" w:color="auto"/>
              <w:right w:val="single" w:sz="4" w:space="0" w:color="auto"/>
            </w:tcBorders>
          </w:tcPr>
          <w:p w:rsidR="00146B0B" w:rsidRDefault="00146B0B" w:rsidP="0057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146B0B" w:rsidRPr="00506D21" w:rsidTr="005750EB">
        <w:trPr>
          <w:trHeight w:val="702"/>
        </w:trPr>
        <w:tc>
          <w:tcPr>
            <w:tcW w:w="425" w:type="dxa"/>
            <w:tcBorders>
              <w:top w:val="single" w:sz="4" w:space="0" w:color="auto"/>
              <w:left w:val="single" w:sz="4" w:space="0" w:color="auto"/>
              <w:bottom w:val="single" w:sz="4" w:space="0" w:color="auto"/>
              <w:right w:val="single" w:sz="4" w:space="0" w:color="auto"/>
            </w:tcBorders>
          </w:tcPr>
          <w:p w:rsidR="00146B0B" w:rsidRPr="00506D21" w:rsidRDefault="00146B0B" w:rsidP="005750EB">
            <w:pPr>
              <w:spacing w:after="0" w:line="240" w:lineRule="auto"/>
              <w:jc w:val="right"/>
              <w:rPr>
                <w:rFonts w:ascii="Times New Roman" w:hAnsi="Times New Roman"/>
              </w:rPr>
            </w:pPr>
            <w:r w:rsidRPr="00506D21">
              <w:rPr>
                <w:rFonts w:ascii="Times New Roman" w:hAnsi="Times New Roman"/>
              </w:rPr>
              <w:t>2</w:t>
            </w:r>
          </w:p>
        </w:tc>
        <w:tc>
          <w:tcPr>
            <w:tcW w:w="1843" w:type="dxa"/>
            <w:tcBorders>
              <w:top w:val="single" w:sz="4" w:space="0" w:color="auto"/>
              <w:left w:val="nil"/>
              <w:bottom w:val="single" w:sz="4" w:space="0" w:color="auto"/>
              <w:right w:val="single" w:sz="4" w:space="0" w:color="auto"/>
            </w:tcBorders>
            <w:vAlign w:val="center"/>
          </w:tcPr>
          <w:p w:rsidR="00146B0B" w:rsidRPr="00506D21" w:rsidRDefault="00146B0B" w:rsidP="005750EB">
            <w:pPr>
              <w:pStyle w:val="a3"/>
              <w:spacing w:after="0"/>
              <w:ind w:left="0"/>
              <w:rPr>
                <w:sz w:val="22"/>
                <w:szCs w:val="22"/>
              </w:rPr>
            </w:pPr>
            <w:r>
              <w:rPr>
                <w:color w:val="000000"/>
              </w:rPr>
              <w:t>Референсний електрод</w:t>
            </w:r>
          </w:p>
        </w:tc>
        <w:tc>
          <w:tcPr>
            <w:tcW w:w="6379" w:type="dxa"/>
            <w:tcBorders>
              <w:top w:val="single" w:sz="4" w:space="0" w:color="auto"/>
              <w:left w:val="single" w:sz="4" w:space="0" w:color="auto"/>
              <w:bottom w:val="single" w:sz="4" w:space="0" w:color="auto"/>
              <w:right w:val="single" w:sz="4" w:space="0" w:color="auto"/>
            </w:tcBorders>
          </w:tcPr>
          <w:p w:rsidR="00146B0B" w:rsidRPr="003C14AA" w:rsidRDefault="00146B0B" w:rsidP="0057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Порівняльний, хлор-срібний електрод фіксованого потенціалу. Електрод не розбірний та не вимагає обслуговування.</w:t>
            </w:r>
          </w:p>
        </w:tc>
        <w:tc>
          <w:tcPr>
            <w:tcW w:w="2126" w:type="dxa"/>
            <w:tcBorders>
              <w:top w:val="single" w:sz="4" w:space="0" w:color="auto"/>
              <w:left w:val="nil"/>
              <w:bottom w:val="single" w:sz="4" w:space="0" w:color="auto"/>
              <w:right w:val="single" w:sz="4" w:space="0" w:color="auto"/>
            </w:tcBorders>
          </w:tcPr>
          <w:p w:rsidR="00146B0B" w:rsidRPr="00506D21" w:rsidRDefault="00146B0B" w:rsidP="0057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146B0B" w:rsidRPr="00506D21" w:rsidTr="005750EB">
        <w:tc>
          <w:tcPr>
            <w:tcW w:w="425" w:type="dxa"/>
            <w:tcBorders>
              <w:top w:val="single" w:sz="4" w:space="0" w:color="auto"/>
              <w:left w:val="single" w:sz="4" w:space="0" w:color="auto"/>
              <w:bottom w:val="single" w:sz="4" w:space="0" w:color="auto"/>
              <w:right w:val="single" w:sz="4" w:space="0" w:color="auto"/>
            </w:tcBorders>
          </w:tcPr>
          <w:p w:rsidR="00146B0B" w:rsidRPr="00506D21" w:rsidRDefault="00146B0B" w:rsidP="005750EB">
            <w:pPr>
              <w:spacing w:after="0" w:line="240" w:lineRule="auto"/>
              <w:jc w:val="right"/>
              <w:rPr>
                <w:rFonts w:ascii="Times New Roman" w:hAnsi="Times New Roman"/>
              </w:rPr>
            </w:pPr>
            <w:r w:rsidRPr="00506D21">
              <w:rPr>
                <w:rFonts w:ascii="Times New Roman" w:hAnsi="Times New Roman"/>
              </w:rPr>
              <w:t>3</w:t>
            </w:r>
          </w:p>
        </w:tc>
        <w:tc>
          <w:tcPr>
            <w:tcW w:w="1843" w:type="dxa"/>
            <w:tcBorders>
              <w:top w:val="single" w:sz="4" w:space="0" w:color="auto"/>
              <w:left w:val="nil"/>
              <w:bottom w:val="single" w:sz="4" w:space="0" w:color="auto"/>
              <w:right w:val="single" w:sz="4" w:space="0" w:color="auto"/>
            </w:tcBorders>
            <w:vAlign w:val="center"/>
          </w:tcPr>
          <w:p w:rsidR="00146B0B" w:rsidRPr="002976BB" w:rsidRDefault="00146B0B" w:rsidP="005750EB">
            <w:pPr>
              <w:pStyle w:val="a3"/>
              <w:spacing w:after="0"/>
              <w:ind w:left="0"/>
              <w:rPr>
                <w:sz w:val="22"/>
                <w:szCs w:val="22"/>
              </w:rPr>
            </w:pPr>
            <w:r w:rsidRPr="002976BB">
              <w:rPr>
                <w:color w:val="000000"/>
                <w:sz w:val="22"/>
                <w:szCs w:val="22"/>
              </w:rPr>
              <w:t xml:space="preserve">PO2 Електрод </w:t>
            </w:r>
          </w:p>
        </w:tc>
        <w:tc>
          <w:tcPr>
            <w:tcW w:w="6379" w:type="dxa"/>
            <w:tcBorders>
              <w:top w:val="single" w:sz="4" w:space="0" w:color="auto"/>
              <w:left w:val="single" w:sz="4" w:space="0" w:color="auto"/>
              <w:bottom w:val="single" w:sz="4" w:space="0" w:color="auto"/>
              <w:right w:val="single" w:sz="4" w:space="0" w:color="auto"/>
            </w:tcBorders>
          </w:tcPr>
          <w:p w:rsidR="00146B0B" w:rsidRPr="002976BB" w:rsidRDefault="00146B0B" w:rsidP="0057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A776E">
              <w:rPr>
                <w:rFonts w:ascii="Times New Roman" w:hAnsi="Times New Roman"/>
              </w:rPr>
              <w:t>Під час аналізу зразки крові знаходяться в електродах при 37 º С,  та захищені від попадання в них повітря. Для проб артеріальної (діапазон вимірювання  83-108</w:t>
            </w:r>
            <w:r w:rsidRPr="002976BB">
              <w:rPr>
                <w:rFonts w:ascii="Times New Roman" w:hAnsi="Times New Roman"/>
              </w:rPr>
              <w:t xml:space="preserve"> мм Hg), капілярної (діапазон 38-42 мм Hg) або венозної крові (діапазон 38-42 мм Hg).</w:t>
            </w:r>
            <w:r>
              <w:rPr>
                <w:rFonts w:ascii="Times New Roman" w:hAnsi="Times New Roman"/>
              </w:rPr>
              <w:t xml:space="preserve"> Електрод не розбірний та не вимагає обслуговування.</w:t>
            </w:r>
          </w:p>
        </w:tc>
        <w:tc>
          <w:tcPr>
            <w:tcW w:w="2126" w:type="dxa"/>
            <w:tcBorders>
              <w:top w:val="single" w:sz="4" w:space="0" w:color="auto"/>
              <w:left w:val="nil"/>
              <w:bottom w:val="single" w:sz="4" w:space="0" w:color="auto"/>
              <w:right w:val="single" w:sz="4" w:space="0" w:color="auto"/>
            </w:tcBorders>
          </w:tcPr>
          <w:p w:rsidR="00146B0B" w:rsidRPr="00506D21" w:rsidRDefault="00146B0B" w:rsidP="0057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146B0B" w:rsidRPr="00506D21" w:rsidTr="005750EB">
        <w:trPr>
          <w:trHeight w:val="1475"/>
        </w:trPr>
        <w:tc>
          <w:tcPr>
            <w:tcW w:w="425" w:type="dxa"/>
            <w:tcBorders>
              <w:top w:val="single" w:sz="4" w:space="0" w:color="auto"/>
              <w:left w:val="single" w:sz="4" w:space="0" w:color="auto"/>
              <w:bottom w:val="single" w:sz="4" w:space="0" w:color="auto"/>
              <w:right w:val="single" w:sz="4" w:space="0" w:color="auto"/>
            </w:tcBorders>
          </w:tcPr>
          <w:p w:rsidR="00146B0B" w:rsidRPr="00506D21" w:rsidRDefault="00146B0B" w:rsidP="005750EB">
            <w:pPr>
              <w:spacing w:after="0" w:line="240" w:lineRule="auto"/>
              <w:jc w:val="right"/>
              <w:rPr>
                <w:rFonts w:ascii="Times New Roman" w:hAnsi="Times New Roman"/>
              </w:rPr>
            </w:pPr>
            <w:r w:rsidRPr="00506D21">
              <w:rPr>
                <w:rFonts w:ascii="Times New Roman" w:hAnsi="Times New Roman"/>
              </w:rPr>
              <w:t>4</w:t>
            </w:r>
          </w:p>
        </w:tc>
        <w:tc>
          <w:tcPr>
            <w:tcW w:w="1843" w:type="dxa"/>
            <w:tcBorders>
              <w:top w:val="single" w:sz="4" w:space="0" w:color="auto"/>
              <w:left w:val="nil"/>
              <w:bottom w:val="single" w:sz="4" w:space="0" w:color="auto"/>
              <w:right w:val="single" w:sz="4" w:space="0" w:color="auto"/>
            </w:tcBorders>
            <w:vAlign w:val="bottom"/>
          </w:tcPr>
          <w:p w:rsidR="00146B0B" w:rsidRPr="002976BB" w:rsidRDefault="00146B0B" w:rsidP="005750EB">
            <w:pPr>
              <w:pStyle w:val="a3"/>
              <w:spacing w:after="0"/>
              <w:ind w:left="0"/>
              <w:rPr>
                <w:sz w:val="22"/>
                <w:szCs w:val="22"/>
              </w:rPr>
            </w:pPr>
            <w:r w:rsidRPr="002976BB">
              <w:rPr>
                <w:color w:val="000000"/>
                <w:sz w:val="22"/>
                <w:szCs w:val="22"/>
              </w:rPr>
              <w:t>PCO</w:t>
            </w:r>
            <w:r w:rsidRPr="002976BB">
              <w:rPr>
                <w:color w:val="000000"/>
                <w:sz w:val="22"/>
                <w:szCs w:val="22"/>
                <w:vertAlign w:val="subscript"/>
              </w:rPr>
              <w:t>2</w:t>
            </w:r>
            <w:r w:rsidRPr="002976BB">
              <w:rPr>
                <w:color w:val="000000"/>
                <w:sz w:val="22"/>
                <w:szCs w:val="22"/>
              </w:rPr>
              <w:t xml:space="preserve"> Електрод </w:t>
            </w:r>
          </w:p>
        </w:tc>
        <w:tc>
          <w:tcPr>
            <w:tcW w:w="6379" w:type="dxa"/>
            <w:tcBorders>
              <w:top w:val="single" w:sz="4" w:space="0" w:color="auto"/>
              <w:left w:val="single" w:sz="4" w:space="0" w:color="auto"/>
              <w:bottom w:val="single" w:sz="4" w:space="0" w:color="auto"/>
              <w:right w:val="single" w:sz="4" w:space="0" w:color="auto"/>
            </w:tcBorders>
          </w:tcPr>
          <w:p w:rsidR="00146B0B" w:rsidRPr="002976BB" w:rsidRDefault="00146B0B" w:rsidP="0057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A776E">
              <w:rPr>
                <w:rFonts w:ascii="Times New Roman" w:hAnsi="Times New Roman"/>
              </w:rPr>
              <w:t>Іоноселективний електрод. Під час аналізу зразки крові знаходяться в електродах при 37 º С,  та захищені від попадання в них повітря. Для проб артеріальної (діапазон вимірювання 35,0-45,0 мм Hg), капілярної (діапазон 44,0-46,0 мм Hg) або венозної крові (діапазон 44,0-46,0 мм Hg). Електрод не розбірний та не вимагає обслуговування.</w:t>
            </w:r>
          </w:p>
        </w:tc>
        <w:tc>
          <w:tcPr>
            <w:tcW w:w="2126" w:type="dxa"/>
            <w:tcBorders>
              <w:top w:val="single" w:sz="4" w:space="0" w:color="auto"/>
              <w:left w:val="nil"/>
              <w:bottom w:val="single" w:sz="4" w:space="0" w:color="auto"/>
              <w:right w:val="single" w:sz="4" w:space="0" w:color="auto"/>
            </w:tcBorders>
          </w:tcPr>
          <w:p w:rsidR="00146B0B" w:rsidRPr="00506D21" w:rsidRDefault="00146B0B" w:rsidP="0057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146B0B" w:rsidRPr="00506D21" w:rsidTr="005750EB">
        <w:trPr>
          <w:trHeight w:val="1275"/>
        </w:trPr>
        <w:tc>
          <w:tcPr>
            <w:tcW w:w="425" w:type="dxa"/>
            <w:tcBorders>
              <w:top w:val="single" w:sz="4" w:space="0" w:color="auto"/>
              <w:left w:val="single" w:sz="4" w:space="0" w:color="auto"/>
              <w:bottom w:val="single" w:sz="4" w:space="0" w:color="auto"/>
              <w:right w:val="single" w:sz="4" w:space="0" w:color="auto"/>
            </w:tcBorders>
          </w:tcPr>
          <w:p w:rsidR="00146B0B" w:rsidRPr="00506D21" w:rsidRDefault="00146B0B" w:rsidP="005750EB">
            <w:pPr>
              <w:spacing w:after="0" w:line="240" w:lineRule="auto"/>
              <w:jc w:val="right"/>
              <w:rPr>
                <w:rFonts w:ascii="Times New Roman" w:hAnsi="Times New Roman"/>
              </w:rPr>
            </w:pPr>
            <w:r>
              <w:rPr>
                <w:rFonts w:ascii="Times New Roman" w:hAnsi="Times New Roman"/>
              </w:rPr>
              <w:t>5</w:t>
            </w:r>
          </w:p>
        </w:tc>
        <w:tc>
          <w:tcPr>
            <w:tcW w:w="1843" w:type="dxa"/>
            <w:tcBorders>
              <w:top w:val="single" w:sz="4" w:space="0" w:color="auto"/>
              <w:left w:val="nil"/>
              <w:bottom w:val="single" w:sz="4" w:space="0" w:color="auto"/>
              <w:right w:val="single" w:sz="4" w:space="0" w:color="auto"/>
            </w:tcBorders>
            <w:vAlign w:val="center"/>
          </w:tcPr>
          <w:p w:rsidR="00146B0B" w:rsidRPr="002976BB" w:rsidRDefault="00146B0B" w:rsidP="005750EB">
            <w:pPr>
              <w:pStyle w:val="a3"/>
              <w:spacing w:after="0"/>
              <w:ind w:left="0"/>
              <w:rPr>
                <w:color w:val="000000"/>
                <w:sz w:val="22"/>
                <w:szCs w:val="22"/>
              </w:rPr>
            </w:pPr>
            <w:r w:rsidRPr="002976BB">
              <w:rPr>
                <w:color w:val="000000"/>
                <w:sz w:val="22"/>
                <w:szCs w:val="22"/>
              </w:rPr>
              <w:t xml:space="preserve">pH Електрод </w:t>
            </w:r>
          </w:p>
        </w:tc>
        <w:tc>
          <w:tcPr>
            <w:tcW w:w="6379" w:type="dxa"/>
            <w:tcBorders>
              <w:top w:val="single" w:sz="4" w:space="0" w:color="auto"/>
              <w:left w:val="single" w:sz="4" w:space="0" w:color="auto"/>
              <w:bottom w:val="single" w:sz="4" w:space="0" w:color="auto"/>
              <w:right w:val="single" w:sz="4" w:space="0" w:color="auto"/>
            </w:tcBorders>
          </w:tcPr>
          <w:p w:rsidR="00146B0B" w:rsidRPr="002976BB" w:rsidRDefault="00146B0B" w:rsidP="0057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46BE7">
              <w:rPr>
                <w:rFonts w:ascii="Times New Roman" w:hAnsi="Times New Roman"/>
              </w:rPr>
              <w:t>Іоноселективний електрод. Під час аналізу зразки крові знаходяться в електродах при 37 º С,  та захищені від попадання в них повітря.Для проб артеріальної (діапазон вимірювання  7,35-7,45), капілярної (діапазон 7,34-7,36) або венозної крові (діапазон 7,34-7,36). Електрод не розбірний та не вимагає обслуговування.</w:t>
            </w:r>
          </w:p>
        </w:tc>
        <w:tc>
          <w:tcPr>
            <w:tcW w:w="2126" w:type="dxa"/>
            <w:tcBorders>
              <w:top w:val="single" w:sz="4" w:space="0" w:color="auto"/>
              <w:left w:val="nil"/>
              <w:bottom w:val="single" w:sz="4" w:space="0" w:color="auto"/>
              <w:right w:val="single" w:sz="4" w:space="0" w:color="auto"/>
            </w:tcBorders>
          </w:tcPr>
          <w:p w:rsidR="00146B0B" w:rsidRDefault="00146B0B" w:rsidP="0057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146B0B" w:rsidRPr="00506D21" w:rsidTr="005750EB">
        <w:trPr>
          <w:trHeight w:val="1548"/>
        </w:trPr>
        <w:tc>
          <w:tcPr>
            <w:tcW w:w="425" w:type="dxa"/>
            <w:tcBorders>
              <w:top w:val="single" w:sz="4" w:space="0" w:color="auto"/>
              <w:left w:val="single" w:sz="4" w:space="0" w:color="auto"/>
              <w:bottom w:val="single" w:sz="4" w:space="0" w:color="auto"/>
              <w:right w:val="single" w:sz="4" w:space="0" w:color="auto"/>
            </w:tcBorders>
          </w:tcPr>
          <w:p w:rsidR="00146B0B" w:rsidRPr="00506D21" w:rsidRDefault="00146B0B" w:rsidP="005750EB">
            <w:pPr>
              <w:spacing w:after="0" w:line="240" w:lineRule="auto"/>
              <w:jc w:val="right"/>
              <w:rPr>
                <w:rFonts w:ascii="Times New Roman" w:hAnsi="Times New Roman"/>
              </w:rPr>
            </w:pPr>
            <w:r>
              <w:rPr>
                <w:rFonts w:ascii="Times New Roman" w:hAnsi="Times New Roman"/>
              </w:rPr>
              <w:t>6</w:t>
            </w:r>
          </w:p>
        </w:tc>
        <w:tc>
          <w:tcPr>
            <w:tcW w:w="1843" w:type="dxa"/>
            <w:tcBorders>
              <w:top w:val="single" w:sz="4" w:space="0" w:color="auto"/>
              <w:left w:val="nil"/>
              <w:bottom w:val="single" w:sz="4" w:space="0" w:color="auto"/>
              <w:right w:val="single" w:sz="4" w:space="0" w:color="auto"/>
            </w:tcBorders>
            <w:vAlign w:val="center"/>
          </w:tcPr>
          <w:p w:rsidR="00146B0B" w:rsidRPr="002976BB" w:rsidRDefault="00146B0B" w:rsidP="005750EB">
            <w:pPr>
              <w:pStyle w:val="a3"/>
              <w:spacing w:after="0"/>
              <w:ind w:left="0"/>
              <w:rPr>
                <w:color w:val="000000"/>
                <w:sz w:val="22"/>
                <w:szCs w:val="22"/>
              </w:rPr>
            </w:pPr>
            <w:r>
              <w:rPr>
                <w:color w:val="000000"/>
                <w:sz w:val="22"/>
                <w:szCs w:val="22"/>
              </w:rPr>
              <w:t>Набір матеріалів контрольних для газів крові та електролітів,</w:t>
            </w:r>
            <w:r w:rsidRPr="002976BB">
              <w:rPr>
                <w:color w:val="000000"/>
                <w:sz w:val="22"/>
                <w:szCs w:val="22"/>
              </w:rPr>
              <w:t xml:space="preserve"> рівень 1 </w:t>
            </w:r>
          </w:p>
        </w:tc>
        <w:tc>
          <w:tcPr>
            <w:tcW w:w="6379" w:type="dxa"/>
            <w:tcBorders>
              <w:top w:val="single" w:sz="4" w:space="0" w:color="auto"/>
              <w:left w:val="single" w:sz="4" w:space="0" w:color="auto"/>
              <w:bottom w:val="single" w:sz="4" w:space="0" w:color="auto"/>
              <w:right w:val="single" w:sz="4" w:space="0" w:color="auto"/>
            </w:tcBorders>
          </w:tcPr>
          <w:p w:rsidR="00146B0B" w:rsidRPr="002976BB" w:rsidRDefault="00146B0B" w:rsidP="0057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27BC8">
              <w:rPr>
                <w:rFonts w:ascii="Times New Roman" w:hAnsi="Times New Roman"/>
              </w:rPr>
              <w:t xml:space="preserve">Призначення: Для діагностичного вимірювання </w:t>
            </w:r>
            <w:r w:rsidRPr="00E27BC8">
              <w:rPr>
                <w:rFonts w:ascii="Times New Roman" w:hAnsi="Times New Roman"/>
                <w:iCs/>
              </w:rPr>
              <w:t>in vitro.</w:t>
            </w:r>
            <w:r w:rsidRPr="00E27BC8">
              <w:rPr>
                <w:rFonts w:ascii="Times New Roman" w:hAnsi="Times New Roman"/>
                <w:i/>
                <w:iCs/>
                <w:sz w:val="20"/>
                <w:szCs w:val="20"/>
              </w:rPr>
              <w:t xml:space="preserve"> </w:t>
            </w:r>
            <w:r w:rsidRPr="00E27BC8">
              <w:rPr>
                <w:rFonts w:ascii="Times New Roman" w:hAnsi="Times New Roman"/>
              </w:rPr>
              <w:t xml:space="preserve">Контроль, використовується для моніторингу продуктивності аналізатора в різних точках в клінічному діапазоні. Він упакований в герметично закритих скляних ампулах, що містять 1,7 мл розчину. Ампули упаковані по тридцять (30) в коробці кожного рівня. Умови зберігання при </w:t>
            </w:r>
            <w:r w:rsidRPr="00E27BC8">
              <w:rPr>
                <w:rFonts w:ascii="Times New Roman" w:hAnsi="Times New Roman"/>
                <w:bCs/>
              </w:rPr>
              <w:t>4-25 °C, не заморожувати.</w:t>
            </w:r>
          </w:p>
        </w:tc>
        <w:tc>
          <w:tcPr>
            <w:tcW w:w="2126" w:type="dxa"/>
            <w:tcBorders>
              <w:top w:val="single" w:sz="4" w:space="0" w:color="auto"/>
              <w:left w:val="nil"/>
              <w:bottom w:val="single" w:sz="4" w:space="0" w:color="auto"/>
              <w:right w:val="single" w:sz="4" w:space="0" w:color="auto"/>
            </w:tcBorders>
          </w:tcPr>
          <w:p w:rsidR="00146B0B" w:rsidRDefault="00146B0B" w:rsidP="0057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146B0B" w:rsidRPr="00506D21" w:rsidTr="005750EB">
        <w:tc>
          <w:tcPr>
            <w:tcW w:w="425" w:type="dxa"/>
            <w:tcBorders>
              <w:top w:val="single" w:sz="4" w:space="0" w:color="auto"/>
              <w:left w:val="single" w:sz="4" w:space="0" w:color="auto"/>
              <w:bottom w:val="single" w:sz="4" w:space="0" w:color="auto"/>
              <w:right w:val="single" w:sz="4" w:space="0" w:color="auto"/>
            </w:tcBorders>
          </w:tcPr>
          <w:p w:rsidR="00146B0B" w:rsidRPr="00506D21" w:rsidRDefault="00146B0B" w:rsidP="005750EB">
            <w:pPr>
              <w:spacing w:after="0" w:line="240" w:lineRule="auto"/>
              <w:jc w:val="right"/>
              <w:rPr>
                <w:rFonts w:ascii="Times New Roman" w:hAnsi="Times New Roman"/>
              </w:rPr>
            </w:pPr>
            <w:r>
              <w:rPr>
                <w:rFonts w:ascii="Times New Roman" w:hAnsi="Times New Roman"/>
              </w:rPr>
              <w:t>7</w:t>
            </w:r>
          </w:p>
        </w:tc>
        <w:tc>
          <w:tcPr>
            <w:tcW w:w="1843" w:type="dxa"/>
            <w:tcBorders>
              <w:top w:val="single" w:sz="4" w:space="0" w:color="auto"/>
              <w:left w:val="nil"/>
              <w:bottom w:val="single" w:sz="4" w:space="0" w:color="auto"/>
              <w:right w:val="single" w:sz="4" w:space="0" w:color="auto"/>
            </w:tcBorders>
            <w:vAlign w:val="center"/>
          </w:tcPr>
          <w:p w:rsidR="00146B0B" w:rsidRPr="002976BB" w:rsidRDefault="00146B0B" w:rsidP="005750EB">
            <w:pPr>
              <w:pStyle w:val="a3"/>
              <w:spacing w:after="0"/>
              <w:ind w:left="0"/>
              <w:rPr>
                <w:color w:val="000000"/>
                <w:sz w:val="22"/>
                <w:szCs w:val="22"/>
              </w:rPr>
            </w:pPr>
            <w:r>
              <w:rPr>
                <w:color w:val="000000"/>
                <w:sz w:val="22"/>
                <w:szCs w:val="22"/>
              </w:rPr>
              <w:t>Набір матеріалів контрольних для газів крові та електролітів,</w:t>
            </w:r>
            <w:r w:rsidRPr="002976BB">
              <w:rPr>
                <w:color w:val="000000"/>
                <w:sz w:val="22"/>
                <w:szCs w:val="22"/>
              </w:rPr>
              <w:t xml:space="preserve"> рівень 2 </w:t>
            </w:r>
          </w:p>
        </w:tc>
        <w:tc>
          <w:tcPr>
            <w:tcW w:w="6379" w:type="dxa"/>
            <w:tcBorders>
              <w:top w:val="single" w:sz="4" w:space="0" w:color="auto"/>
              <w:left w:val="single" w:sz="4" w:space="0" w:color="auto"/>
              <w:bottom w:val="single" w:sz="4" w:space="0" w:color="auto"/>
              <w:right w:val="single" w:sz="4" w:space="0" w:color="auto"/>
            </w:tcBorders>
          </w:tcPr>
          <w:p w:rsidR="00146B0B" w:rsidRPr="00B21C06" w:rsidRDefault="00146B0B" w:rsidP="0057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21C06">
              <w:rPr>
                <w:rFonts w:ascii="Times New Roman" w:hAnsi="Times New Roman"/>
              </w:rPr>
              <w:t xml:space="preserve">Призначення: Для діагностичного вимірювання </w:t>
            </w:r>
            <w:r w:rsidRPr="00B21C06">
              <w:rPr>
                <w:rFonts w:ascii="Times New Roman" w:hAnsi="Times New Roman"/>
                <w:iCs/>
              </w:rPr>
              <w:t>in vitro.</w:t>
            </w:r>
            <w:r w:rsidRPr="00B21C06">
              <w:rPr>
                <w:rFonts w:ascii="Times New Roman" w:hAnsi="Times New Roman"/>
                <w:i/>
                <w:iCs/>
                <w:sz w:val="20"/>
                <w:szCs w:val="20"/>
              </w:rPr>
              <w:t xml:space="preserve"> </w:t>
            </w:r>
            <w:r w:rsidRPr="00B21C06">
              <w:rPr>
                <w:rFonts w:ascii="Times New Roman" w:hAnsi="Times New Roman"/>
              </w:rPr>
              <w:t>Контроль, використовується для моніторингу продуктивності аналізатора в різних точках в клінічному діапазоні. Він упакований в герметично закритих скляних ампулах, що містять 1,7 мл розчину. Ампули упаковані по тридцять (30) в коробці кожного рівня.</w:t>
            </w:r>
            <w:r>
              <w:rPr>
                <w:rFonts w:ascii="Times New Roman" w:hAnsi="Times New Roman"/>
              </w:rPr>
              <w:t xml:space="preserve"> </w:t>
            </w:r>
            <w:r w:rsidRPr="00B21C06">
              <w:rPr>
                <w:rFonts w:ascii="Times New Roman" w:hAnsi="Times New Roman"/>
              </w:rPr>
              <w:t xml:space="preserve">Умови зберігання при </w:t>
            </w:r>
            <w:r w:rsidRPr="00B21C06">
              <w:rPr>
                <w:rFonts w:ascii="Times New Roman" w:hAnsi="Times New Roman"/>
                <w:bCs/>
              </w:rPr>
              <w:t>4-25 °C, не заморожувати.</w:t>
            </w:r>
          </w:p>
        </w:tc>
        <w:tc>
          <w:tcPr>
            <w:tcW w:w="2126" w:type="dxa"/>
            <w:tcBorders>
              <w:top w:val="single" w:sz="4" w:space="0" w:color="auto"/>
              <w:left w:val="nil"/>
              <w:bottom w:val="single" w:sz="4" w:space="0" w:color="auto"/>
              <w:right w:val="single" w:sz="4" w:space="0" w:color="auto"/>
            </w:tcBorders>
          </w:tcPr>
          <w:p w:rsidR="00146B0B" w:rsidRDefault="00146B0B" w:rsidP="0057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146B0B" w:rsidRPr="00506D21" w:rsidTr="005750EB">
        <w:tc>
          <w:tcPr>
            <w:tcW w:w="425" w:type="dxa"/>
            <w:tcBorders>
              <w:top w:val="single" w:sz="4" w:space="0" w:color="auto"/>
              <w:left w:val="single" w:sz="4" w:space="0" w:color="auto"/>
              <w:bottom w:val="single" w:sz="4" w:space="0" w:color="auto"/>
              <w:right w:val="single" w:sz="4" w:space="0" w:color="auto"/>
            </w:tcBorders>
          </w:tcPr>
          <w:p w:rsidR="00146B0B" w:rsidRPr="00506D21" w:rsidRDefault="00146B0B" w:rsidP="005750EB">
            <w:pPr>
              <w:spacing w:after="0" w:line="240" w:lineRule="auto"/>
              <w:jc w:val="right"/>
              <w:rPr>
                <w:rFonts w:ascii="Times New Roman" w:hAnsi="Times New Roman"/>
              </w:rPr>
            </w:pPr>
            <w:r>
              <w:rPr>
                <w:rFonts w:ascii="Times New Roman" w:hAnsi="Times New Roman"/>
              </w:rPr>
              <w:t>8</w:t>
            </w:r>
          </w:p>
        </w:tc>
        <w:tc>
          <w:tcPr>
            <w:tcW w:w="1843" w:type="dxa"/>
            <w:tcBorders>
              <w:top w:val="single" w:sz="4" w:space="0" w:color="auto"/>
              <w:left w:val="nil"/>
              <w:bottom w:val="single" w:sz="4" w:space="0" w:color="auto"/>
              <w:right w:val="single" w:sz="4" w:space="0" w:color="auto"/>
            </w:tcBorders>
          </w:tcPr>
          <w:p w:rsidR="00146B0B" w:rsidRPr="002976BB" w:rsidRDefault="00146B0B" w:rsidP="005750EB">
            <w:pPr>
              <w:pStyle w:val="a3"/>
              <w:spacing w:after="0"/>
              <w:ind w:left="0"/>
              <w:rPr>
                <w:color w:val="000000"/>
                <w:sz w:val="22"/>
                <w:szCs w:val="22"/>
              </w:rPr>
            </w:pPr>
            <w:r>
              <w:rPr>
                <w:color w:val="000000"/>
                <w:sz w:val="22"/>
                <w:szCs w:val="22"/>
              </w:rPr>
              <w:t xml:space="preserve">Набір матеріалів контрольних для газів крові та електролітів, </w:t>
            </w:r>
            <w:r w:rsidRPr="002976BB">
              <w:rPr>
                <w:color w:val="000000"/>
                <w:sz w:val="22"/>
                <w:szCs w:val="22"/>
              </w:rPr>
              <w:t xml:space="preserve">рівень 3 </w:t>
            </w:r>
          </w:p>
        </w:tc>
        <w:tc>
          <w:tcPr>
            <w:tcW w:w="6379" w:type="dxa"/>
            <w:tcBorders>
              <w:top w:val="single" w:sz="4" w:space="0" w:color="auto"/>
              <w:left w:val="single" w:sz="4" w:space="0" w:color="auto"/>
              <w:bottom w:val="single" w:sz="4" w:space="0" w:color="auto"/>
              <w:right w:val="single" w:sz="4" w:space="0" w:color="auto"/>
            </w:tcBorders>
          </w:tcPr>
          <w:p w:rsidR="00146B0B" w:rsidRPr="000711EA" w:rsidRDefault="00146B0B" w:rsidP="0057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21C06">
              <w:rPr>
                <w:rFonts w:ascii="Times New Roman" w:hAnsi="Times New Roman"/>
              </w:rPr>
              <w:t xml:space="preserve">Призначення: Для діагностичного вимірювання </w:t>
            </w:r>
            <w:r w:rsidRPr="00B21C06">
              <w:rPr>
                <w:rFonts w:ascii="Times New Roman" w:hAnsi="Times New Roman"/>
                <w:iCs/>
              </w:rPr>
              <w:t>in vitro.</w:t>
            </w:r>
            <w:r w:rsidRPr="00B21C06">
              <w:rPr>
                <w:rFonts w:ascii="Times New Roman" w:hAnsi="Times New Roman"/>
                <w:i/>
                <w:iCs/>
                <w:sz w:val="20"/>
                <w:szCs w:val="20"/>
              </w:rPr>
              <w:t xml:space="preserve"> </w:t>
            </w:r>
            <w:r w:rsidRPr="00B21C06">
              <w:rPr>
                <w:rFonts w:ascii="Times New Roman" w:hAnsi="Times New Roman"/>
              </w:rPr>
              <w:t>Контроль, використовується для моніторингу продуктивності аналізатора в різних точках в клінічному діапазоні. Він упакований в герметично закритих скляних ампулах, що містять 1,7 мл розчину. Ампули упаковані по тридцять (30) в коробці кожного рівня.</w:t>
            </w:r>
            <w:r>
              <w:rPr>
                <w:rFonts w:ascii="Times New Roman" w:hAnsi="Times New Roman"/>
              </w:rPr>
              <w:t xml:space="preserve"> </w:t>
            </w:r>
            <w:r w:rsidRPr="00B21C06">
              <w:rPr>
                <w:rFonts w:ascii="Times New Roman" w:hAnsi="Times New Roman"/>
              </w:rPr>
              <w:t xml:space="preserve">Умови зберігання при </w:t>
            </w:r>
            <w:r w:rsidRPr="00B21C06">
              <w:rPr>
                <w:rFonts w:ascii="Times New Roman" w:hAnsi="Times New Roman"/>
                <w:bCs/>
              </w:rPr>
              <w:t>4-25 °C, не заморожувати.</w:t>
            </w:r>
          </w:p>
        </w:tc>
        <w:tc>
          <w:tcPr>
            <w:tcW w:w="2126" w:type="dxa"/>
            <w:tcBorders>
              <w:top w:val="single" w:sz="4" w:space="0" w:color="auto"/>
              <w:left w:val="nil"/>
              <w:bottom w:val="single" w:sz="4" w:space="0" w:color="auto"/>
              <w:right w:val="single" w:sz="4" w:space="0" w:color="auto"/>
            </w:tcBorders>
          </w:tcPr>
          <w:p w:rsidR="00146B0B" w:rsidRDefault="00146B0B" w:rsidP="0057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146B0B" w:rsidRPr="00506D21" w:rsidTr="005750EB">
        <w:tc>
          <w:tcPr>
            <w:tcW w:w="425" w:type="dxa"/>
            <w:tcBorders>
              <w:top w:val="single" w:sz="4" w:space="0" w:color="auto"/>
              <w:left w:val="single" w:sz="4" w:space="0" w:color="auto"/>
              <w:bottom w:val="single" w:sz="4" w:space="0" w:color="auto"/>
              <w:right w:val="single" w:sz="4" w:space="0" w:color="auto"/>
            </w:tcBorders>
          </w:tcPr>
          <w:p w:rsidR="00146B0B" w:rsidRPr="00506D21" w:rsidRDefault="00146B0B" w:rsidP="005750EB">
            <w:pPr>
              <w:spacing w:after="0" w:line="240" w:lineRule="auto"/>
              <w:jc w:val="right"/>
              <w:rPr>
                <w:rFonts w:ascii="Times New Roman" w:hAnsi="Times New Roman"/>
              </w:rPr>
            </w:pPr>
            <w:r>
              <w:rPr>
                <w:rFonts w:ascii="Times New Roman" w:hAnsi="Times New Roman"/>
              </w:rPr>
              <w:t>9</w:t>
            </w:r>
          </w:p>
        </w:tc>
        <w:tc>
          <w:tcPr>
            <w:tcW w:w="1843" w:type="dxa"/>
            <w:tcBorders>
              <w:top w:val="single" w:sz="4" w:space="0" w:color="auto"/>
              <w:left w:val="nil"/>
              <w:bottom w:val="single" w:sz="4" w:space="0" w:color="auto"/>
              <w:right w:val="single" w:sz="4" w:space="0" w:color="auto"/>
            </w:tcBorders>
            <w:vAlign w:val="bottom"/>
          </w:tcPr>
          <w:p w:rsidR="00146B0B" w:rsidRPr="002976BB" w:rsidRDefault="00146B0B" w:rsidP="005750EB">
            <w:pPr>
              <w:pStyle w:val="a3"/>
              <w:spacing w:after="0"/>
              <w:ind w:left="0"/>
              <w:rPr>
                <w:color w:val="000000"/>
                <w:sz w:val="22"/>
                <w:szCs w:val="22"/>
              </w:rPr>
            </w:pPr>
            <w:r w:rsidRPr="002976BB">
              <w:rPr>
                <w:color w:val="000000"/>
                <w:sz w:val="22"/>
                <w:szCs w:val="22"/>
              </w:rPr>
              <w:t xml:space="preserve">Набір розчинів для щоденної промивки/очистки </w:t>
            </w:r>
          </w:p>
        </w:tc>
        <w:tc>
          <w:tcPr>
            <w:tcW w:w="6379" w:type="dxa"/>
            <w:tcBorders>
              <w:top w:val="single" w:sz="4" w:space="0" w:color="auto"/>
              <w:left w:val="single" w:sz="4" w:space="0" w:color="auto"/>
              <w:bottom w:val="single" w:sz="4" w:space="0" w:color="auto"/>
              <w:right w:val="single" w:sz="4" w:space="0" w:color="auto"/>
            </w:tcBorders>
          </w:tcPr>
          <w:p w:rsidR="00146B0B" w:rsidRPr="001F6353" w:rsidRDefault="00146B0B" w:rsidP="0057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Призначення: </w:t>
            </w:r>
            <w:r w:rsidRPr="002976BB">
              <w:rPr>
                <w:rFonts w:ascii="Times New Roman" w:hAnsi="Times New Roman"/>
              </w:rPr>
              <w:t>Для діагнос</w:t>
            </w:r>
            <w:r>
              <w:rPr>
                <w:rFonts w:ascii="Times New Roman" w:hAnsi="Times New Roman"/>
              </w:rPr>
              <w:t>тики</w:t>
            </w:r>
            <w:r w:rsidRPr="002976BB">
              <w:rPr>
                <w:rFonts w:ascii="Times New Roman" w:hAnsi="Times New Roman"/>
              </w:rPr>
              <w:t xml:space="preserve"> InVitro.  Розчинник-очищувач на кожен день 1 х 90 </w:t>
            </w:r>
            <w:r w:rsidRPr="001826E6">
              <w:rPr>
                <w:rFonts w:ascii="Times New Roman" w:hAnsi="Times New Roman"/>
              </w:rPr>
              <w:t>мл  HCl (0,2 N) і NH5F2 (0,05 н) і солі</w:t>
            </w:r>
            <w:r w:rsidRPr="000711EA">
              <w:rPr>
                <w:rFonts w:ascii="Times New Roman" w:hAnsi="Times New Roman"/>
              </w:rPr>
              <w:t xml:space="preserve">, HCl (0,1 N) та солі. Порошок очищувач на кожен день: 6 </w:t>
            </w:r>
            <w:r w:rsidRPr="002976BB">
              <w:rPr>
                <w:rFonts w:ascii="Times New Roman" w:hAnsi="Times New Roman"/>
              </w:rPr>
              <w:t>пляшок</w:t>
            </w:r>
            <w:r>
              <w:rPr>
                <w:rFonts w:ascii="Times New Roman" w:hAnsi="Times New Roman"/>
              </w:rPr>
              <w:t>/флаконів</w:t>
            </w:r>
            <w:r w:rsidRPr="002976BB">
              <w:rPr>
                <w:rFonts w:ascii="Times New Roman" w:hAnsi="Times New Roman"/>
              </w:rPr>
              <w:t xml:space="preserve"> </w:t>
            </w:r>
            <w:r w:rsidRPr="001826E6">
              <w:rPr>
                <w:rFonts w:ascii="Times New Roman" w:hAnsi="Times New Roman"/>
              </w:rPr>
              <w:t xml:space="preserve">Пепсин (0,50 г) </w:t>
            </w:r>
            <w:r w:rsidRPr="000A7886">
              <w:rPr>
                <w:rFonts w:ascii="Times New Roman" w:hAnsi="Times New Roman"/>
                <w:color w:val="FF0000"/>
              </w:rPr>
              <w:t xml:space="preserve"> </w:t>
            </w:r>
            <w:r w:rsidRPr="001826E6">
              <w:rPr>
                <w:rFonts w:ascii="Times New Roman" w:hAnsi="Times New Roman"/>
              </w:rPr>
              <w:t>Пепсин (0,30 г)</w:t>
            </w:r>
            <w:r w:rsidRPr="000711EA">
              <w:rPr>
                <w:rFonts w:ascii="Times New Roman" w:hAnsi="Times New Roman"/>
              </w:rPr>
              <w:t xml:space="preserve">. </w:t>
            </w:r>
            <w:r>
              <w:rPr>
                <w:rFonts w:ascii="Times New Roman" w:hAnsi="Times New Roman"/>
              </w:rPr>
              <w:t xml:space="preserve">Умови зберігання при </w:t>
            </w:r>
            <w:r>
              <w:rPr>
                <w:rFonts w:ascii="Times New Roman" w:hAnsi="Times New Roman"/>
                <w:bCs/>
              </w:rPr>
              <w:t>4-25</w:t>
            </w:r>
            <w:r w:rsidRPr="00040906">
              <w:rPr>
                <w:rFonts w:ascii="Times New Roman" w:hAnsi="Times New Roman"/>
                <w:bCs/>
              </w:rPr>
              <w:t xml:space="preserve"> °C</w:t>
            </w:r>
            <w:r>
              <w:rPr>
                <w:rFonts w:ascii="Times New Roman" w:hAnsi="Times New Roman"/>
                <w:bCs/>
              </w:rPr>
              <w:t>.</w:t>
            </w:r>
          </w:p>
        </w:tc>
        <w:tc>
          <w:tcPr>
            <w:tcW w:w="2126" w:type="dxa"/>
            <w:tcBorders>
              <w:top w:val="single" w:sz="4" w:space="0" w:color="auto"/>
              <w:left w:val="nil"/>
              <w:bottom w:val="single" w:sz="4" w:space="0" w:color="auto"/>
              <w:right w:val="single" w:sz="4" w:space="0" w:color="auto"/>
            </w:tcBorders>
          </w:tcPr>
          <w:p w:rsidR="00146B0B" w:rsidRDefault="00146B0B" w:rsidP="0057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bl>
    <w:p w:rsidR="00146B0B" w:rsidRDefault="00146B0B" w:rsidP="00146B0B">
      <w:pPr>
        <w:spacing w:after="0" w:line="240" w:lineRule="auto"/>
        <w:jc w:val="both"/>
        <w:rPr>
          <w:rFonts w:ascii="Times New Roman" w:eastAsia="Tahoma" w:hAnsi="Times New Roman"/>
          <w:b/>
          <w:i/>
          <w:color w:val="00000A"/>
          <w:lang w:eastAsia="zh-CN" w:bidi="hi-IN"/>
        </w:rPr>
      </w:pPr>
      <w:r w:rsidRPr="00506D21">
        <w:rPr>
          <w:rFonts w:ascii="Times New Roman" w:hAnsi="Times New Roman"/>
          <w:b/>
        </w:rPr>
        <w:t xml:space="preserve">      </w:t>
      </w:r>
      <w:r>
        <w:rPr>
          <w:rFonts w:ascii="Times New Roman" w:eastAsia="Tahoma" w:hAnsi="Times New Roman"/>
          <w:b/>
          <w:i/>
          <w:color w:val="00000A"/>
          <w:lang w:eastAsia="zh-CN" w:bidi="hi-IN"/>
        </w:rPr>
        <w:t xml:space="preserve">                                                                                           </w:t>
      </w:r>
    </w:p>
    <w:p w:rsidR="00845CA9" w:rsidRDefault="00845CA9" w:rsidP="00845CA9">
      <w:pPr>
        <w:spacing w:after="0" w:line="240" w:lineRule="auto"/>
        <w:jc w:val="both"/>
        <w:rPr>
          <w:rFonts w:ascii="Times New Roman" w:eastAsia="Tahoma" w:hAnsi="Times New Roman"/>
          <w:b/>
          <w:i/>
          <w:color w:val="00000A"/>
          <w:lang w:eastAsia="zh-CN" w:bidi="hi-IN"/>
        </w:rPr>
      </w:pPr>
      <w:bookmarkStart w:id="2" w:name="_GoBack"/>
      <w:bookmarkEnd w:id="2"/>
    </w:p>
    <w:p w:rsidR="00845CA9" w:rsidRDefault="00845CA9" w:rsidP="00845CA9">
      <w:pPr>
        <w:spacing w:after="0" w:line="240" w:lineRule="auto"/>
        <w:jc w:val="both"/>
        <w:rPr>
          <w:rFonts w:ascii="Times New Roman" w:eastAsia="Tahoma" w:hAnsi="Times New Roman"/>
          <w:b/>
          <w:i/>
          <w:color w:val="00000A"/>
          <w:lang w:eastAsia="zh-CN" w:bidi="hi-IN"/>
        </w:rPr>
      </w:pPr>
    </w:p>
    <w:p w:rsidR="00845CA9" w:rsidRDefault="00845CA9" w:rsidP="00845CA9">
      <w:pPr>
        <w:spacing w:after="0" w:line="240" w:lineRule="auto"/>
        <w:jc w:val="both"/>
        <w:rPr>
          <w:rFonts w:ascii="Times New Roman" w:eastAsia="Tahoma" w:hAnsi="Times New Roman"/>
          <w:b/>
          <w:i/>
          <w:color w:val="00000A"/>
          <w:lang w:eastAsia="zh-CN" w:bidi="hi-IN"/>
        </w:rPr>
      </w:pPr>
    </w:p>
    <w:p w:rsidR="00E92D3C" w:rsidRDefault="00E92D3C" w:rsidP="00845CA9">
      <w:pPr>
        <w:tabs>
          <w:tab w:val="left" w:pos="142"/>
          <w:tab w:val="left" w:pos="284"/>
          <w:tab w:val="left" w:pos="851"/>
        </w:tabs>
        <w:spacing w:after="0" w:line="240" w:lineRule="auto"/>
        <w:jc w:val="both"/>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7D68B0" w:rsidRPr="00506E32" w:rsidRDefault="007D68B0" w:rsidP="00E92D3C">
      <w:pPr>
        <w:spacing w:after="0" w:line="240" w:lineRule="auto"/>
        <w:jc w:val="both"/>
        <w:rPr>
          <w:rFonts w:ascii="Times New Roman" w:eastAsia="Calibri" w:hAnsi="Times New Roman" w:cs="Times New Roman"/>
          <w:lang w:val="uk-UA"/>
        </w:rPr>
      </w:pPr>
    </w:p>
    <w:sectPr w:rsidR="007D68B0" w:rsidRPr="00506E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9999"/>
        </w:tabs>
        <w:ind w:left="9999" w:hanging="360"/>
      </w:pPr>
      <w:rPr>
        <w:rFonts w:cs="Times New Roman"/>
        <w:i w:val="0"/>
      </w:rPr>
    </w:lvl>
    <w:lvl w:ilvl="1">
      <w:start w:val="1"/>
      <w:numFmt w:val="lowerLetter"/>
      <w:lvlText w:val="%2."/>
      <w:lvlJc w:val="left"/>
      <w:pPr>
        <w:tabs>
          <w:tab w:val="num" w:pos="10359"/>
        </w:tabs>
        <w:ind w:left="10359" w:hanging="360"/>
      </w:pPr>
      <w:rPr>
        <w:rFonts w:cs="Times New Roman"/>
      </w:rPr>
    </w:lvl>
    <w:lvl w:ilvl="2">
      <w:start w:val="1"/>
      <w:numFmt w:val="lowerRoman"/>
      <w:lvlText w:val="%3."/>
      <w:lvlJc w:val="left"/>
      <w:pPr>
        <w:tabs>
          <w:tab w:val="num" w:pos="10719"/>
        </w:tabs>
        <w:ind w:left="10719" w:hanging="360"/>
      </w:pPr>
      <w:rPr>
        <w:rFonts w:cs="Times New Roman"/>
      </w:rPr>
    </w:lvl>
    <w:lvl w:ilvl="3">
      <w:start w:val="1"/>
      <w:numFmt w:val="decimal"/>
      <w:lvlText w:val="%4."/>
      <w:lvlJc w:val="left"/>
      <w:pPr>
        <w:tabs>
          <w:tab w:val="num" w:pos="11079"/>
        </w:tabs>
        <w:ind w:left="11079" w:hanging="360"/>
      </w:pPr>
      <w:rPr>
        <w:rFonts w:cs="Times New Roman"/>
        <w:i w:val="0"/>
      </w:rPr>
    </w:lvl>
    <w:lvl w:ilvl="4">
      <w:start w:val="1"/>
      <w:numFmt w:val="lowerLetter"/>
      <w:lvlText w:val="%5."/>
      <w:lvlJc w:val="left"/>
      <w:pPr>
        <w:tabs>
          <w:tab w:val="num" w:pos="11439"/>
        </w:tabs>
        <w:ind w:left="11439" w:hanging="360"/>
      </w:pPr>
      <w:rPr>
        <w:rFonts w:cs="Times New Roman"/>
      </w:rPr>
    </w:lvl>
    <w:lvl w:ilvl="5">
      <w:start w:val="1"/>
      <w:numFmt w:val="lowerRoman"/>
      <w:lvlText w:val="%6."/>
      <w:lvlJc w:val="left"/>
      <w:pPr>
        <w:tabs>
          <w:tab w:val="num" w:pos="11799"/>
        </w:tabs>
        <w:ind w:left="11799" w:hanging="360"/>
      </w:pPr>
      <w:rPr>
        <w:rFonts w:cs="Times New Roman"/>
      </w:rPr>
    </w:lvl>
    <w:lvl w:ilvl="6">
      <w:start w:val="1"/>
      <w:numFmt w:val="decimal"/>
      <w:lvlText w:val="%7."/>
      <w:lvlJc w:val="left"/>
      <w:pPr>
        <w:tabs>
          <w:tab w:val="num" w:pos="12159"/>
        </w:tabs>
        <w:ind w:left="12159" w:hanging="360"/>
      </w:pPr>
      <w:rPr>
        <w:rFonts w:cs="Times New Roman"/>
      </w:rPr>
    </w:lvl>
    <w:lvl w:ilvl="7">
      <w:start w:val="1"/>
      <w:numFmt w:val="lowerLetter"/>
      <w:lvlText w:val="%8."/>
      <w:lvlJc w:val="left"/>
      <w:pPr>
        <w:tabs>
          <w:tab w:val="num" w:pos="12519"/>
        </w:tabs>
        <w:ind w:left="12519" w:hanging="360"/>
      </w:pPr>
      <w:rPr>
        <w:rFonts w:cs="Times New Roman"/>
      </w:rPr>
    </w:lvl>
    <w:lvl w:ilvl="8">
      <w:start w:val="1"/>
      <w:numFmt w:val="lowerRoman"/>
      <w:lvlText w:val="%9."/>
      <w:lvlJc w:val="left"/>
      <w:pPr>
        <w:tabs>
          <w:tab w:val="num" w:pos="12879"/>
        </w:tabs>
        <w:ind w:left="12879" w:hanging="360"/>
      </w:pPr>
      <w:rPr>
        <w:rFonts w:cs="Times New Roman"/>
      </w:rPr>
    </w:lvl>
  </w:abstractNum>
  <w:abstractNum w:abstractNumId="1" w15:restartNumberingAfterBreak="0">
    <w:nsid w:val="33FB5894"/>
    <w:multiLevelType w:val="hybridMultilevel"/>
    <w:tmpl w:val="091A7D38"/>
    <w:lvl w:ilvl="0" w:tplc="0422000F">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1425F"/>
    <w:rsid w:val="00047A85"/>
    <w:rsid w:val="00146B0B"/>
    <w:rsid w:val="001B44C3"/>
    <w:rsid w:val="001E2702"/>
    <w:rsid w:val="00266DF8"/>
    <w:rsid w:val="00270AA1"/>
    <w:rsid w:val="002F4C55"/>
    <w:rsid w:val="0031026C"/>
    <w:rsid w:val="0033022E"/>
    <w:rsid w:val="00506E32"/>
    <w:rsid w:val="00692496"/>
    <w:rsid w:val="006A7798"/>
    <w:rsid w:val="006E6702"/>
    <w:rsid w:val="007D68B0"/>
    <w:rsid w:val="00804E43"/>
    <w:rsid w:val="00830ADD"/>
    <w:rsid w:val="00845CA9"/>
    <w:rsid w:val="0092142A"/>
    <w:rsid w:val="00997100"/>
    <w:rsid w:val="00A97679"/>
    <w:rsid w:val="00AF4A57"/>
    <w:rsid w:val="00BA11F8"/>
    <w:rsid w:val="00D35EEF"/>
    <w:rsid w:val="00E031DE"/>
    <w:rsid w:val="00E92D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paragraph" w:styleId="a4">
    <w:name w:val="List Paragraph"/>
    <w:basedOn w:val="a"/>
    <w:link w:val="a5"/>
    <w:uiPriority w:val="34"/>
    <w:qFormat/>
    <w:rsid w:val="00506E32"/>
    <w:pPr>
      <w:suppressAutoHyphens/>
      <w:ind w:left="720"/>
      <w:contextualSpacing/>
    </w:pPr>
    <w:rPr>
      <w:rFonts w:ascii="Calibri" w:eastAsia="Calibri" w:hAnsi="Calibri" w:cs="Times New Roman"/>
      <w:lang w:eastAsia="zh-CN"/>
    </w:rPr>
  </w:style>
  <w:style w:type="character" w:customStyle="1" w:styleId="a5">
    <w:name w:val="Абзац списка Знак"/>
    <w:link w:val="a4"/>
    <w:uiPriority w:val="34"/>
    <w:rsid w:val="00506E32"/>
    <w:rPr>
      <w:rFonts w:ascii="Calibri" w:eastAsia="Calibri" w:hAnsi="Calibri" w:cs="Times New Roman"/>
      <w:lang w:val="ru-RU" w:eastAsia="zh-CN"/>
    </w:rPr>
  </w:style>
  <w:style w:type="paragraph" w:styleId="a6">
    <w:name w:val="header"/>
    <w:basedOn w:val="a"/>
    <w:link w:val="a7"/>
    <w:uiPriority w:val="99"/>
    <w:rsid w:val="00E92D3C"/>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7">
    <w:name w:val="Верхний колонтитул Знак"/>
    <w:basedOn w:val="a0"/>
    <w:link w:val="a6"/>
    <w:uiPriority w:val="99"/>
    <w:rsid w:val="00E92D3C"/>
    <w:rPr>
      <w:rFonts w:ascii="Calibri" w:eastAsia="Calibri" w:hAnsi="Calibri" w:cs="Times New Roman"/>
      <w:sz w:val="20"/>
      <w:szCs w:val="20"/>
    </w:rPr>
  </w:style>
  <w:style w:type="paragraph" w:customStyle="1" w:styleId="docdata">
    <w:name w:val="docdata"/>
    <w:aliases w:val="docy,v5,5266,baiaagaaboqcaaadlhaaaawkeaaaaaaaaaaaaaaaaaaaaaaaaaaaaaaaaaaaaaaaaaaaaaaaaaaaaaaaaaaaaaaaaaaaaaaaaaaaaaaaaaaaaaaaaaaaaaaaaaaaaaaaaaaaaaaaaaaaaaaaaaaaaaaaaaaaaaaaaaaaaaaaaaaaaaaaaaaaaaaaaaaaaaaaaaaaaaaaaaaaaaaaaaaaaaaaaaaaaaaaaaaaaaaa"/>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E92D3C"/>
    <w:pPr>
      <w:spacing w:after="0" w:line="240" w:lineRule="auto"/>
    </w:pPr>
    <w:rPr>
      <w:lang w:val="ru-RU"/>
    </w:rPr>
  </w:style>
  <w:style w:type="table" w:styleId="a9">
    <w:name w:val="Table Grid"/>
    <w:basedOn w:val="a1"/>
    <w:uiPriority w:val="59"/>
    <w:rsid w:val="00E92D3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2D3C"/>
    <w:pPr>
      <w:tabs>
        <w:tab w:val="center" w:pos="4677"/>
        <w:tab w:val="right" w:pos="9355"/>
      </w:tabs>
      <w:spacing w:after="0" w:line="240" w:lineRule="auto"/>
      <w:ind w:firstLine="720"/>
      <w:jc w:val="both"/>
    </w:pPr>
    <w:rPr>
      <w:rFonts w:ascii="Calibri" w:eastAsia="Times New Roman" w:hAnsi="Calibri" w:cs="Times New Roman"/>
      <w:szCs w:val="20"/>
    </w:rPr>
  </w:style>
  <w:style w:type="character" w:customStyle="1" w:styleId="ab">
    <w:name w:val="Нижний колонтитул Знак"/>
    <w:basedOn w:val="a0"/>
    <w:link w:val="aa"/>
    <w:uiPriority w:val="99"/>
    <w:rsid w:val="00E92D3C"/>
    <w:rPr>
      <w:rFonts w:ascii="Calibri" w:eastAsia="Times New Roman" w:hAnsi="Calibri" w:cs="Times New Roman"/>
      <w:szCs w:val="20"/>
      <w:lang w:val="ru-RU"/>
    </w:rPr>
  </w:style>
  <w:style w:type="paragraph" w:styleId="ac">
    <w:name w:val="Balloon Text"/>
    <w:basedOn w:val="a"/>
    <w:link w:val="ad"/>
    <w:uiPriority w:val="99"/>
    <w:semiHidden/>
    <w:unhideWhenUsed/>
    <w:rsid w:val="00E92D3C"/>
    <w:pPr>
      <w:spacing w:after="0" w:line="240" w:lineRule="auto"/>
      <w:ind w:firstLine="720"/>
      <w:jc w:val="both"/>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E92D3C"/>
    <w:rPr>
      <w:rFonts w:ascii="Tahoma" w:eastAsia="Times New Roman" w:hAnsi="Tahoma" w:cs="Tahoma"/>
      <w:sz w:val="16"/>
      <w:szCs w:val="16"/>
      <w:lang w:val="ru-RU"/>
    </w:rPr>
  </w:style>
  <w:style w:type="character" w:styleId="ae">
    <w:name w:val="Hyperlink"/>
    <w:basedOn w:val="a0"/>
    <w:uiPriority w:val="99"/>
    <w:semiHidden/>
    <w:unhideWhenUsed/>
    <w:rsid w:val="00E92D3C"/>
    <w:rPr>
      <w:color w:val="0000FF"/>
      <w:u w:val="single"/>
    </w:rPr>
  </w:style>
  <w:style w:type="paragraph" w:customStyle="1" w:styleId="TableParagraph">
    <w:name w:val="Table Paragraph"/>
    <w:basedOn w:val="a"/>
    <w:uiPriority w:val="1"/>
    <w:qFormat/>
    <w:rsid w:val="00146B0B"/>
    <w:pPr>
      <w:widowControl w:val="0"/>
      <w:autoSpaceDE w:val="0"/>
      <w:autoSpaceDN w:val="0"/>
      <w:spacing w:after="0" w:line="240" w:lineRule="auto"/>
      <w:ind w:left="109"/>
    </w:pPr>
    <w:rPr>
      <w:rFonts w:ascii="Times New Roman" w:eastAsia="Times New Roman" w:hAnsi="Times New Roman" w:cs="Times New Roman"/>
      <w:lang w:val="uk-UA"/>
    </w:rPr>
  </w:style>
  <w:style w:type="table" w:customStyle="1" w:styleId="TableNormal">
    <w:name w:val="Table Normal"/>
    <w:uiPriority w:val="2"/>
    <w:semiHidden/>
    <w:unhideWhenUsed/>
    <w:qFormat/>
    <w:rsid w:val="00146B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29</cp:revision>
  <dcterms:created xsi:type="dcterms:W3CDTF">2021-01-28T13:34:00Z</dcterms:created>
  <dcterms:modified xsi:type="dcterms:W3CDTF">2022-07-27T15:21:00Z</dcterms:modified>
</cp:coreProperties>
</file>