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2C" w:rsidRDefault="00063DC0" w:rsidP="00F5672C">
      <w:r>
        <w:rPr>
          <w:rFonts w:ascii="Times New Roman" w:hAnsi="Times New Roman" w:cs="Times New Roman"/>
        </w:rPr>
        <w:t xml:space="preserve">                                        ОБГРУНТУВАННЯ </w:t>
      </w:r>
      <w:r w:rsidR="00E225A1">
        <w:rPr>
          <w:rFonts w:ascii="Times New Roman" w:hAnsi="Times New Roman" w:cs="Times New Roman"/>
        </w:rPr>
        <w:t>ЗАКУПІВЛІ</w:t>
      </w:r>
      <w:r w:rsidR="00EF5950">
        <w:rPr>
          <w:rFonts w:ascii="Times New Roman" w:hAnsi="Times New Roman" w:cs="Times New Roman"/>
        </w:rPr>
        <w:t>:</w:t>
      </w:r>
      <w:r w:rsidR="00E225A1">
        <w:rPr>
          <w:rFonts w:ascii="Times New Roman" w:hAnsi="Times New Roman" w:cs="Times New Roman"/>
        </w:rPr>
        <w:t xml:space="preserve"> </w:t>
      </w:r>
      <w:proofErr w:type="spellStart"/>
      <w:r w:rsidR="00F5672C" w:rsidRPr="00347EE8">
        <w:rPr>
          <w:rFonts w:ascii="Times New Roman" w:eastAsia="Times New Roman" w:hAnsi="Times New Roman"/>
          <w:lang w:eastAsia="ru-RU"/>
        </w:rPr>
        <w:t>Дезинфекційні</w:t>
      </w:r>
      <w:proofErr w:type="spellEnd"/>
      <w:r w:rsidR="00F5672C" w:rsidRPr="00347EE8">
        <w:rPr>
          <w:rFonts w:ascii="Times New Roman" w:eastAsia="Times New Roman" w:hAnsi="Times New Roman"/>
          <w:lang w:eastAsia="ru-RU"/>
        </w:rPr>
        <w:t xml:space="preserve"> засоби</w:t>
      </w:r>
      <w:r w:rsidR="00F5672C">
        <w:t xml:space="preserve"> </w:t>
      </w:r>
    </w:p>
    <w:p w:rsidR="00063DC0" w:rsidRPr="00277B83" w:rsidRDefault="00063DC0" w:rsidP="00277B83">
      <w:pPr>
        <w:spacing w:after="0" w:line="240" w:lineRule="auto"/>
        <w:rPr>
          <w:rFonts w:ascii="Times New Roman" w:hAnsi="Times New Roman" w:cs="Times New Roman"/>
        </w:rPr>
      </w:pPr>
      <w:r w:rsidRPr="00277B83">
        <w:rPr>
          <w:rFonts w:ascii="Times New Roman" w:hAnsi="Times New Roman" w:cs="Times New Roman"/>
        </w:rPr>
        <w:t>1.</w:t>
      </w:r>
      <w:r w:rsidR="006A1B8E" w:rsidRPr="00277B83">
        <w:rPr>
          <w:rFonts w:ascii="Times New Roman" w:hAnsi="Times New Roman" w:cs="Times New Roman"/>
        </w:rPr>
        <w:t xml:space="preserve"> Умови оплати: </w:t>
      </w:r>
      <w:proofErr w:type="spellStart"/>
      <w:r w:rsidR="006A1B8E" w:rsidRPr="00277B83">
        <w:rPr>
          <w:rFonts w:ascii="Times New Roman" w:hAnsi="Times New Roman" w:cs="Times New Roman"/>
        </w:rPr>
        <w:t>Післяоплата</w:t>
      </w:r>
      <w:proofErr w:type="spellEnd"/>
      <w:r w:rsidR="006A1B8E" w:rsidRPr="00277B83">
        <w:rPr>
          <w:rFonts w:ascii="Times New Roman" w:hAnsi="Times New Roman" w:cs="Times New Roman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063DC0" w:rsidRPr="00277B83" w:rsidRDefault="00063DC0" w:rsidP="0027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B83">
        <w:rPr>
          <w:rFonts w:ascii="Times New Roman" w:hAnsi="Times New Roman" w:cs="Times New Roman"/>
          <w:lang w:eastAsia="uk-UA"/>
        </w:rPr>
        <w:t>2.Строк поставки товарів, виконання робіт, надання послуг</w:t>
      </w:r>
      <w:r w:rsidRPr="00277B83">
        <w:rPr>
          <w:rFonts w:ascii="Times New Roman" w:hAnsi="Times New Roman" w:cs="Times New Roman"/>
          <w:b/>
          <w:lang w:eastAsia="uk-UA"/>
        </w:rPr>
        <w:t xml:space="preserve">: до </w:t>
      </w:r>
      <w:r w:rsidR="00BC2C5E" w:rsidRPr="00277B83">
        <w:rPr>
          <w:rFonts w:ascii="Times New Roman" w:hAnsi="Times New Roman" w:cs="Times New Roman"/>
          <w:b/>
          <w:lang w:eastAsia="uk-UA"/>
        </w:rPr>
        <w:t>31</w:t>
      </w:r>
      <w:r w:rsidRPr="00277B83">
        <w:rPr>
          <w:rFonts w:ascii="Times New Roman" w:hAnsi="Times New Roman" w:cs="Times New Roman"/>
          <w:b/>
          <w:lang w:eastAsia="uk-UA"/>
        </w:rPr>
        <w:t>.12.2021 року</w:t>
      </w:r>
      <w:r w:rsidRPr="00277B83">
        <w:rPr>
          <w:rFonts w:ascii="Times New Roman" w:hAnsi="Times New Roman" w:cs="Times New Roman"/>
          <w:lang w:eastAsia="uk-UA"/>
        </w:rPr>
        <w:t>.</w:t>
      </w:r>
    </w:p>
    <w:p w:rsidR="00063DC0" w:rsidRPr="00277B83" w:rsidRDefault="00063DC0" w:rsidP="0027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B83">
        <w:rPr>
          <w:rFonts w:ascii="Times New Roman" w:hAnsi="Times New Roman" w:cs="Times New Roman"/>
        </w:rPr>
        <w:t xml:space="preserve">3.Поставка Товару здійснюється власними силами та за рахунок Постачальника за </w:t>
      </w:r>
      <w:proofErr w:type="spellStart"/>
      <w:r w:rsidRPr="00277B83">
        <w:rPr>
          <w:rFonts w:ascii="Times New Roman" w:hAnsi="Times New Roman" w:cs="Times New Roman"/>
        </w:rPr>
        <w:t>адресою</w:t>
      </w:r>
      <w:proofErr w:type="spellEnd"/>
      <w:r w:rsidRPr="00277B83">
        <w:rPr>
          <w:rFonts w:ascii="Times New Roman" w:hAnsi="Times New Roman" w:cs="Times New Roman"/>
        </w:rPr>
        <w:t xml:space="preserve"> Покупця.</w:t>
      </w:r>
    </w:p>
    <w:p w:rsidR="00063DC0" w:rsidRPr="00277B83" w:rsidRDefault="00063DC0" w:rsidP="00063DC0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277B83">
        <w:rPr>
          <w:rFonts w:ascii="Times New Roman" w:hAnsi="Times New Roman" w:cs="Times New Roman"/>
        </w:rPr>
        <w:t>4.Ціна товару включає в себе вартість товару, його упаковки, маркування, доставки, передачі, розвантаження, інших витрат постачальника, сплату мита, усі податки та збори, що сплачуються або мають бути сплачені щодо  поставки товару, у тому числі ПДВ ( враховуючи ставку оподаткування).</w:t>
      </w:r>
    </w:p>
    <w:p w:rsidR="00277B83" w:rsidRPr="00277B83" w:rsidRDefault="00595BBA" w:rsidP="0027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B83">
        <w:rPr>
          <w:rFonts w:ascii="Times New Roman" w:hAnsi="Times New Roman" w:cs="Times New Roman"/>
        </w:rPr>
        <w:t>5.</w:t>
      </w:r>
      <w:r w:rsidRPr="00277B83">
        <w:rPr>
          <w:rFonts w:ascii="Times New Roman" w:hAnsi="Times New Roman" w:cs="Times New Roman"/>
          <w:lang w:eastAsia="uk-UA"/>
        </w:rPr>
        <w:t xml:space="preserve">Очікувана вартість предмета закупівлі: </w:t>
      </w:r>
      <w:r w:rsidR="00277B83" w:rsidRPr="00277B83">
        <w:rPr>
          <w:rFonts w:ascii="Times New Roman" w:hAnsi="Times New Roman" w:cs="Times New Roman"/>
          <w:b/>
          <w:lang w:eastAsia="uk-UA"/>
        </w:rPr>
        <w:t>39 000,00 грн</w:t>
      </w:r>
      <w:r w:rsidR="00277B83" w:rsidRPr="00277B83">
        <w:rPr>
          <w:rFonts w:ascii="Times New Roman" w:hAnsi="Times New Roman" w:cs="Times New Roman"/>
          <w:lang w:eastAsia="uk-UA"/>
        </w:rPr>
        <w:t>. (Тридцять дев’ять тисяч грн. 00 коп. з ПДВ)</w:t>
      </w:r>
    </w:p>
    <w:p w:rsidR="00F5672C" w:rsidRPr="00277B83" w:rsidRDefault="00F5672C" w:rsidP="00F5672C">
      <w:pPr>
        <w:tabs>
          <w:tab w:val="left" w:pos="142"/>
          <w:tab w:val="left" w:pos="284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277B83">
        <w:rPr>
          <w:rFonts w:ascii="Times New Roman" w:hAnsi="Times New Roman" w:cs="Times New Roman"/>
          <w:b/>
        </w:rPr>
        <w:t xml:space="preserve">І.ЗАГАЛЬНІ, КІЛЬКІСНІ та ЯКІСНІ ВИМОГИ: </w:t>
      </w:r>
    </w:p>
    <w:p w:rsidR="00277B83" w:rsidRPr="00277B83" w:rsidRDefault="00277B83" w:rsidP="00277B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7B83">
        <w:rPr>
          <w:rFonts w:ascii="Times New Roman" w:hAnsi="Times New Roman" w:cs="Times New Roman"/>
        </w:rPr>
        <w:t>1.</w:t>
      </w:r>
      <w:r w:rsidRPr="00277B83">
        <w:rPr>
          <w:rFonts w:ascii="Times New Roman" w:hAnsi="Times New Roman" w:cs="Times New Roman"/>
          <w:lang w:eastAsia="ru-RU"/>
        </w:rPr>
        <w:t xml:space="preserve"> Запропонований товар має бути зареєстрований в Україні та дозволений до використання в медичних закладах. </w:t>
      </w:r>
      <w:r w:rsidRPr="00277B83">
        <w:rPr>
          <w:rFonts w:ascii="Times New Roman" w:hAnsi="Times New Roman" w:cs="Times New Roman"/>
        </w:rPr>
        <w:t>На підтвердження, учасник у складі пропозиції надає:</w:t>
      </w:r>
    </w:p>
    <w:p w:rsidR="00277B83" w:rsidRPr="00277B83" w:rsidRDefault="00277B83" w:rsidP="00277B83">
      <w:pPr>
        <w:numPr>
          <w:ilvl w:val="0"/>
          <w:numId w:val="1"/>
        </w:numPr>
        <w:tabs>
          <w:tab w:val="clear" w:pos="0"/>
          <w:tab w:val="left" w:pos="284"/>
          <w:tab w:val="num" w:pos="7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7B83">
        <w:rPr>
          <w:rFonts w:ascii="Times New Roman" w:hAnsi="Times New Roman" w:cs="Times New Roman"/>
          <w:lang w:eastAsia="ru-RU"/>
        </w:rPr>
        <w:t xml:space="preserve">-Документ на підтвердження якості (сертифікат відповідності (з додатками) та/або висновок санітарно-епідеміологічної служби на товар або сертифікат/паспорт якості або декларація про відповідність з додатками), або інші документи встановлені діючим законодавством на запропоновану продукцію або </w:t>
      </w:r>
    </w:p>
    <w:p w:rsidR="00277B83" w:rsidRPr="00277B83" w:rsidRDefault="00277B83" w:rsidP="00277B83">
      <w:pPr>
        <w:numPr>
          <w:ilvl w:val="0"/>
          <w:numId w:val="1"/>
        </w:numPr>
        <w:tabs>
          <w:tab w:val="clear" w:pos="0"/>
          <w:tab w:val="left" w:pos="284"/>
          <w:tab w:val="num" w:pos="7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7B83">
        <w:rPr>
          <w:rFonts w:ascii="Times New Roman" w:hAnsi="Times New Roman" w:cs="Times New Roman"/>
          <w:lang w:eastAsia="ru-RU"/>
        </w:rPr>
        <w:t>-обґрунтування його відсутності.</w:t>
      </w:r>
    </w:p>
    <w:p w:rsidR="00277B83" w:rsidRPr="00277B83" w:rsidRDefault="00277B83" w:rsidP="00277B83">
      <w:pPr>
        <w:pStyle w:val="a5"/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277B83">
        <w:rPr>
          <w:rFonts w:ascii="Times New Roman" w:hAnsi="Times New Roman"/>
        </w:rPr>
        <w:t xml:space="preserve">         2.Засіб повинен бути виготовлений на виробництві яке має сертифікат на систему екологічного управління  на відповідність ДСТУ ISO 14001, виданий органом з сертифікації згідно чинного законодавства, дійсний на дату розкриття пропозицій (потрібно надати копії сертифікатів виробника).</w:t>
      </w:r>
    </w:p>
    <w:p w:rsidR="00277B83" w:rsidRPr="00277B83" w:rsidRDefault="00277B83" w:rsidP="00277B83">
      <w:pPr>
        <w:pStyle w:val="a5"/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277B83">
        <w:rPr>
          <w:rFonts w:ascii="Times New Roman" w:hAnsi="Times New Roman"/>
        </w:rPr>
        <w:t xml:space="preserve">        3.Засіб повинен бути виготовлений на виробництві яке має сертифікат на систему управління якістю згідно ДСТУ ISO 9001, виданий органом з сертифікації згідно чинного законодавства, дійсний на дату розкриття пропозицій (потрібно надати копії сертифікатів виробника).</w:t>
      </w:r>
    </w:p>
    <w:p w:rsidR="00277B83" w:rsidRPr="00277B83" w:rsidRDefault="00277B83" w:rsidP="00277B83">
      <w:pPr>
        <w:numPr>
          <w:ilvl w:val="0"/>
          <w:numId w:val="1"/>
        </w:numPr>
        <w:tabs>
          <w:tab w:val="clear" w:pos="0"/>
          <w:tab w:val="left" w:pos="284"/>
          <w:tab w:val="num" w:pos="7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7B83">
        <w:rPr>
          <w:rFonts w:ascii="Times New Roman" w:hAnsi="Times New Roman" w:cs="Times New Roman"/>
        </w:rPr>
        <w:t xml:space="preserve">4.Товар,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оголошення. </w:t>
      </w:r>
    </w:p>
    <w:p w:rsidR="00277B83" w:rsidRPr="00277B83" w:rsidRDefault="00277B83" w:rsidP="00277B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77B83">
        <w:rPr>
          <w:rFonts w:ascii="Times New Roman" w:hAnsi="Times New Roman" w:cs="Times New Roman"/>
          <w:i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оголошення, повинна бути обов’язково підтверджена посиланням на відповідні розділ(и), та/або сторінку(и) технічного документу (експлуатаційної документац</w:t>
      </w:r>
      <w:r w:rsidRPr="00277B83">
        <w:rPr>
          <w:rFonts w:ascii="Times New Roman" w:hAnsi="Times New Roman" w:cs="Times New Roman"/>
        </w:rPr>
        <w:t>ії:</w:t>
      </w:r>
      <w:r w:rsidRPr="00277B83">
        <w:rPr>
          <w:rFonts w:ascii="Times New Roman" w:hAnsi="Times New Roman" w:cs="Times New Roman"/>
          <w:i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 мовою) в якому міститься ця інформація разом з додаванням таких документів</w:t>
      </w:r>
      <w:r w:rsidRPr="00277B83">
        <w:rPr>
          <w:rFonts w:ascii="Times New Roman" w:hAnsi="Times New Roman" w:cs="Times New Roman"/>
        </w:rPr>
        <w:t>.</w:t>
      </w:r>
      <w:r w:rsidRPr="00277B83">
        <w:rPr>
          <w:rFonts w:ascii="Times New Roman" w:hAnsi="Times New Roman" w:cs="Times New Roman"/>
          <w:i/>
        </w:rPr>
        <w:t xml:space="preserve"> </w:t>
      </w:r>
      <w:r w:rsidRPr="00277B83">
        <w:rPr>
          <w:rFonts w:ascii="Times New Roman" w:hAnsi="Times New Roman" w:cs="Times New Roman"/>
          <w:b/>
          <w:i/>
        </w:rPr>
        <w:t>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оголошення, надається Учасником у формі заповненої таблиці наведеної нижче.</w:t>
      </w:r>
    </w:p>
    <w:p w:rsidR="00277B83" w:rsidRPr="00277B83" w:rsidRDefault="00277B83" w:rsidP="00277B83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958"/>
        <w:gridCol w:w="1134"/>
        <w:gridCol w:w="851"/>
        <w:gridCol w:w="2409"/>
        <w:gridCol w:w="993"/>
        <w:gridCol w:w="992"/>
      </w:tblGrid>
      <w:tr w:rsidR="00277B83" w:rsidRPr="00277B83" w:rsidTr="00C02A7D">
        <w:trPr>
          <w:trHeight w:val="337"/>
        </w:trPr>
        <w:tc>
          <w:tcPr>
            <w:tcW w:w="444" w:type="dxa"/>
          </w:tcPr>
          <w:p w:rsidR="00277B83" w:rsidRPr="00277B83" w:rsidRDefault="00277B83" w:rsidP="00C02A7D">
            <w:pPr>
              <w:pStyle w:val="TableParagraph"/>
              <w:spacing w:line="251" w:lineRule="exact"/>
              <w:ind w:left="103"/>
              <w:rPr>
                <w:bCs/>
                <w:lang w:val="uk-UA"/>
              </w:rPr>
            </w:pPr>
          </w:p>
        </w:tc>
        <w:tc>
          <w:tcPr>
            <w:tcW w:w="4943" w:type="dxa"/>
            <w:gridSpan w:val="3"/>
          </w:tcPr>
          <w:p w:rsidR="00277B83" w:rsidRPr="00277B83" w:rsidRDefault="00277B83" w:rsidP="00C02A7D">
            <w:pPr>
              <w:pStyle w:val="TableParagraph"/>
              <w:spacing w:line="251" w:lineRule="exact"/>
              <w:ind w:left="77"/>
              <w:rPr>
                <w:bCs/>
                <w:lang w:val="uk-UA"/>
              </w:rPr>
            </w:pPr>
            <w:r w:rsidRPr="00277B83">
              <w:rPr>
                <w:bCs/>
                <w:lang w:val="uk-UA"/>
              </w:rPr>
              <w:t>Предмет закупівлі відповідно до вимог замовника</w:t>
            </w:r>
          </w:p>
        </w:tc>
        <w:tc>
          <w:tcPr>
            <w:tcW w:w="4394" w:type="dxa"/>
            <w:gridSpan w:val="3"/>
          </w:tcPr>
          <w:p w:rsidR="00277B83" w:rsidRPr="00277B83" w:rsidRDefault="00277B83" w:rsidP="00C02A7D">
            <w:pPr>
              <w:pStyle w:val="TableParagraph"/>
              <w:spacing w:line="251" w:lineRule="exact"/>
              <w:ind w:left="77"/>
              <w:rPr>
                <w:bCs/>
                <w:lang w:val="uk-UA"/>
              </w:rPr>
            </w:pPr>
            <w:r w:rsidRPr="00277B83">
              <w:rPr>
                <w:bCs/>
                <w:lang w:val="uk-UA"/>
              </w:rPr>
              <w:t>Предмет закупівлі запропонований учасником*</w:t>
            </w:r>
          </w:p>
        </w:tc>
      </w:tr>
      <w:tr w:rsidR="00277B83" w:rsidRPr="00277B83" w:rsidTr="00C02A7D">
        <w:trPr>
          <w:trHeight w:val="337"/>
        </w:trPr>
        <w:tc>
          <w:tcPr>
            <w:tcW w:w="444" w:type="dxa"/>
          </w:tcPr>
          <w:p w:rsidR="00277B83" w:rsidRPr="00277B83" w:rsidRDefault="00277B83" w:rsidP="00C02A7D">
            <w:pPr>
              <w:pStyle w:val="TableParagraph"/>
              <w:spacing w:line="251" w:lineRule="exact"/>
              <w:ind w:left="103"/>
              <w:rPr>
                <w:bCs/>
                <w:lang w:val="uk-UA"/>
              </w:rPr>
            </w:pPr>
            <w:r w:rsidRPr="00277B83">
              <w:rPr>
                <w:bCs/>
                <w:lang w:val="uk-UA"/>
              </w:rPr>
              <w:t>№ з/п</w:t>
            </w:r>
          </w:p>
        </w:tc>
        <w:tc>
          <w:tcPr>
            <w:tcW w:w="2958" w:type="dxa"/>
          </w:tcPr>
          <w:p w:rsidR="00277B83" w:rsidRPr="00277B83" w:rsidRDefault="00277B83" w:rsidP="00C02A7D">
            <w:pPr>
              <w:pStyle w:val="TableParagraph"/>
              <w:spacing w:line="251" w:lineRule="exact"/>
              <w:ind w:left="47" w:right="42"/>
              <w:rPr>
                <w:bCs/>
                <w:lang w:val="uk-UA"/>
              </w:rPr>
            </w:pPr>
            <w:r w:rsidRPr="00277B83">
              <w:rPr>
                <w:bCs/>
                <w:lang w:val="uk-UA"/>
              </w:rPr>
              <w:t>Предмет закупівлі (назва)</w:t>
            </w:r>
          </w:p>
        </w:tc>
        <w:tc>
          <w:tcPr>
            <w:tcW w:w="1134" w:type="dxa"/>
          </w:tcPr>
          <w:p w:rsidR="00277B83" w:rsidRPr="00277B83" w:rsidRDefault="00277B83" w:rsidP="00C02A7D">
            <w:pPr>
              <w:pStyle w:val="TableParagraph"/>
              <w:spacing w:line="254" w:lineRule="exact"/>
              <w:ind w:left="180" w:right="158"/>
              <w:jc w:val="both"/>
              <w:rPr>
                <w:bCs/>
                <w:lang w:val="uk-UA"/>
              </w:rPr>
            </w:pPr>
            <w:r w:rsidRPr="00277B83">
              <w:rPr>
                <w:bCs/>
                <w:lang w:val="uk-UA"/>
              </w:rPr>
              <w:t>Одиниця</w:t>
            </w:r>
            <w:r w:rsidRPr="00277B83">
              <w:rPr>
                <w:bCs/>
                <w:spacing w:val="-52"/>
                <w:lang w:val="uk-UA"/>
              </w:rPr>
              <w:t xml:space="preserve"> </w:t>
            </w:r>
            <w:r w:rsidRPr="00277B83">
              <w:rPr>
                <w:bCs/>
                <w:lang w:val="uk-UA"/>
              </w:rPr>
              <w:t>виміру</w:t>
            </w:r>
          </w:p>
        </w:tc>
        <w:tc>
          <w:tcPr>
            <w:tcW w:w="851" w:type="dxa"/>
          </w:tcPr>
          <w:p w:rsidR="00277B83" w:rsidRPr="00277B83" w:rsidRDefault="00277B83" w:rsidP="00C02A7D">
            <w:pPr>
              <w:pStyle w:val="TableParagraph"/>
              <w:spacing w:line="251" w:lineRule="exact"/>
              <w:ind w:left="77"/>
              <w:rPr>
                <w:bCs/>
                <w:lang w:val="uk-UA"/>
              </w:rPr>
            </w:pPr>
            <w:r w:rsidRPr="00277B83">
              <w:rPr>
                <w:bCs/>
                <w:lang w:val="uk-UA"/>
              </w:rPr>
              <w:t>Кількість</w:t>
            </w:r>
          </w:p>
        </w:tc>
        <w:tc>
          <w:tcPr>
            <w:tcW w:w="2409" w:type="dxa"/>
          </w:tcPr>
          <w:p w:rsidR="00277B83" w:rsidRPr="00277B83" w:rsidRDefault="00277B83" w:rsidP="00C02A7D">
            <w:pPr>
              <w:pStyle w:val="TableParagraph"/>
              <w:spacing w:line="251" w:lineRule="exact"/>
              <w:ind w:left="77"/>
              <w:rPr>
                <w:bCs/>
                <w:lang w:val="uk-UA"/>
              </w:rPr>
            </w:pPr>
            <w:r w:rsidRPr="00277B83">
              <w:rPr>
                <w:bCs/>
                <w:lang w:val="uk-UA"/>
              </w:rPr>
              <w:t>Предмет закупівлі (назва)</w:t>
            </w:r>
          </w:p>
        </w:tc>
        <w:tc>
          <w:tcPr>
            <w:tcW w:w="993" w:type="dxa"/>
          </w:tcPr>
          <w:p w:rsidR="00277B83" w:rsidRPr="00277B83" w:rsidRDefault="00277B83" w:rsidP="00C02A7D">
            <w:pPr>
              <w:pStyle w:val="TableParagraph"/>
              <w:spacing w:line="251" w:lineRule="exact"/>
              <w:ind w:left="77"/>
              <w:rPr>
                <w:bCs/>
                <w:lang w:val="uk-UA"/>
              </w:rPr>
            </w:pPr>
            <w:r w:rsidRPr="00277B83">
              <w:rPr>
                <w:bCs/>
                <w:lang w:val="uk-UA"/>
              </w:rPr>
              <w:t xml:space="preserve">Одиниця </w:t>
            </w:r>
            <w:r w:rsidRPr="00277B83">
              <w:rPr>
                <w:bCs/>
                <w:spacing w:val="-52"/>
                <w:lang w:val="uk-UA"/>
              </w:rPr>
              <w:t xml:space="preserve"> </w:t>
            </w:r>
            <w:r w:rsidRPr="00277B83">
              <w:rPr>
                <w:bCs/>
                <w:lang w:val="uk-UA"/>
              </w:rPr>
              <w:t>виміру</w:t>
            </w:r>
          </w:p>
        </w:tc>
        <w:tc>
          <w:tcPr>
            <w:tcW w:w="992" w:type="dxa"/>
          </w:tcPr>
          <w:p w:rsidR="00277B83" w:rsidRPr="00277B83" w:rsidRDefault="00277B83" w:rsidP="00C02A7D">
            <w:pPr>
              <w:pStyle w:val="TableParagraph"/>
              <w:spacing w:line="251" w:lineRule="exact"/>
              <w:ind w:left="77"/>
              <w:rPr>
                <w:bCs/>
                <w:lang w:val="uk-UA"/>
              </w:rPr>
            </w:pPr>
            <w:r w:rsidRPr="00277B83">
              <w:rPr>
                <w:bCs/>
                <w:lang w:val="uk-UA"/>
              </w:rPr>
              <w:t>Кількість</w:t>
            </w:r>
          </w:p>
        </w:tc>
      </w:tr>
      <w:tr w:rsidR="00277B83" w:rsidRPr="00277B83" w:rsidTr="00C02A7D">
        <w:trPr>
          <w:trHeight w:val="263"/>
        </w:trPr>
        <w:tc>
          <w:tcPr>
            <w:tcW w:w="444" w:type="dxa"/>
          </w:tcPr>
          <w:p w:rsidR="00277B83" w:rsidRPr="00277B83" w:rsidRDefault="00277B83" w:rsidP="00C02A7D">
            <w:pPr>
              <w:pStyle w:val="TableParagraph"/>
              <w:spacing w:line="245" w:lineRule="exact"/>
              <w:ind w:left="57"/>
              <w:jc w:val="center"/>
              <w:rPr>
                <w:lang w:val="uk-UA"/>
              </w:rPr>
            </w:pPr>
            <w:r w:rsidRPr="00277B83"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277B83" w:rsidRPr="00277B83" w:rsidRDefault="00277B83" w:rsidP="00C02A7D">
            <w:pPr>
              <w:pStyle w:val="TableParagraph"/>
              <w:spacing w:line="245" w:lineRule="exact"/>
              <w:ind w:left="54"/>
              <w:rPr>
                <w:b/>
                <w:lang w:val="uk-UA"/>
              </w:rPr>
            </w:pPr>
            <w:r w:rsidRPr="00277B83">
              <w:rPr>
                <w:lang w:val="uk-UA"/>
              </w:rPr>
              <w:t xml:space="preserve">Дезінфекційний засіб  </w:t>
            </w:r>
          </w:p>
        </w:tc>
        <w:tc>
          <w:tcPr>
            <w:tcW w:w="1134" w:type="dxa"/>
          </w:tcPr>
          <w:p w:rsidR="00277B83" w:rsidRPr="00277B83" w:rsidRDefault="00277B83" w:rsidP="00C02A7D">
            <w:pPr>
              <w:pStyle w:val="TableParagraph"/>
              <w:spacing w:line="245" w:lineRule="exact"/>
              <w:ind w:left="54"/>
              <w:jc w:val="center"/>
              <w:rPr>
                <w:b/>
                <w:lang w:val="uk-UA"/>
              </w:rPr>
            </w:pPr>
            <w:r w:rsidRPr="00277B83">
              <w:rPr>
                <w:b/>
                <w:lang w:val="uk-UA"/>
              </w:rPr>
              <w:t>л</w:t>
            </w:r>
          </w:p>
        </w:tc>
        <w:tc>
          <w:tcPr>
            <w:tcW w:w="851" w:type="dxa"/>
          </w:tcPr>
          <w:p w:rsidR="00277B83" w:rsidRPr="00277B83" w:rsidRDefault="00277B83" w:rsidP="00C02A7D">
            <w:pPr>
              <w:pStyle w:val="TableParagraph"/>
              <w:spacing w:line="245" w:lineRule="exact"/>
              <w:ind w:left="94"/>
              <w:jc w:val="center"/>
              <w:rPr>
                <w:b/>
                <w:lang w:val="uk-UA"/>
              </w:rPr>
            </w:pPr>
            <w:r w:rsidRPr="00277B83">
              <w:rPr>
                <w:b/>
                <w:lang w:val="uk-UA"/>
              </w:rPr>
              <w:t>60</w:t>
            </w:r>
          </w:p>
        </w:tc>
        <w:tc>
          <w:tcPr>
            <w:tcW w:w="2409" w:type="dxa"/>
          </w:tcPr>
          <w:p w:rsidR="00277B83" w:rsidRPr="00277B83" w:rsidRDefault="00277B83" w:rsidP="00C02A7D">
            <w:pPr>
              <w:pStyle w:val="TableParagraph"/>
              <w:spacing w:line="245" w:lineRule="exact"/>
              <w:ind w:left="94"/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277B83" w:rsidRPr="00277B83" w:rsidRDefault="00277B83" w:rsidP="00C02A7D">
            <w:pPr>
              <w:pStyle w:val="TableParagraph"/>
              <w:spacing w:line="245" w:lineRule="exact"/>
              <w:ind w:left="94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77B83" w:rsidRPr="00277B83" w:rsidRDefault="00277B83" w:rsidP="00C02A7D">
            <w:pPr>
              <w:pStyle w:val="TableParagraph"/>
              <w:spacing w:line="245" w:lineRule="exact"/>
              <w:ind w:left="94"/>
              <w:jc w:val="center"/>
              <w:rPr>
                <w:lang w:val="uk-UA"/>
              </w:rPr>
            </w:pPr>
          </w:p>
        </w:tc>
      </w:tr>
    </w:tbl>
    <w:p w:rsidR="00277B83" w:rsidRPr="00277B83" w:rsidRDefault="00277B83" w:rsidP="00277B83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color w:val="00000A"/>
          <w:lang w:bidi="hi-IN"/>
        </w:rPr>
      </w:pPr>
    </w:p>
    <w:p w:rsidR="00277B83" w:rsidRPr="00277B83" w:rsidRDefault="00277B83" w:rsidP="00277B83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bCs/>
          <w:color w:val="00000A"/>
          <w:lang w:bidi="hi-IN"/>
        </w:rPr>
      </w:pPr>
      <w:r w:rsidRPr="00277B83">
        <w:rPr>
          <w:rFonts w:ascii="Times New Roman" w:eastAsia="Tahoma" w:hAnsi="Times New Roman" w:cs="Times New Roman"/>
          <w:color w:val="00000A"/>
          <w:lang w:bidi="hi-IN"/>
        </w:rPr>
        <w:t>*</w:t>
      </w:r>
      <w:r w:rsidRPr="00277B83">
        <w:rPr>
          <w:rFonts w:ascii="Times New Roman" w:eastAsia="Times New Roman" w:hAnsi="Times New Roman" w:cs="Times New Roman"/>
          <w:color w:val="000000"/>
          <w:lang w:eastAsia="ar-SA"/>
        </w:rPr>
        <w:t>У складі тендерної пропозиції Учасник вказує назву товару, його виробника чи ТМ, що пропонується Учасником до постачання, у тому вигляді, як  буде зазначатися у специфікації до майбутнього договору про закупівлю та у видаткових накладних Учасника.</w:t>
      </w:r>
      <w:r w:rsidRPr="00277B83">
        <w:rPr>
          <w:rFonts w:ascii="Times New Roman" w:eastAsia="Tahoma" w:hAnsi="Times New Roman" w:cs="Times New Roman"/>
          <w:color w:val="00000A"/>
          <w:lang w:bidi="hi-IN"/>
        </w:rPr>
        <w:t xml:space="preserve"> </w:t>
      </w:r>
    </w:p>
    <w:p w:rsidR="00277B83" w:rsidRPr="00277B83" w:rsidRDefault="00277B83" w:rsidP="00277B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277B83" w:rsidRPr="00277B83" w:rsidTr="00277B83">
        <w:trPr>
          <w:trHeight w:val="53"/>
        </w:trPr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before="1"/>
              <w:ind w:left="7" w:right="93" w:hanging="7"/>
              <w:rPr>
                <w:lang w:val="uk-UA"/>
              </w:rPr>
            </w:pPr>
            <w:r w:rsidRPr="00277B83">
              <w:rPr>
                <w:bCs/>
                <w:lang w:val="uk-UA"/>
              </w:rPr>
              <w:t>№ з/п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pStyle w:val="TableParagraph"/>
              <w:spacing w:before="1"/>
              <w:ind w:left="7" w:right="93" w:hanging="7"/>
              <w:rPr>
                <w:b/>
                <w:lang w:val="uk-UA"/>
              </w:rPr>
            </w:pPr>
            <w:r w:rsidRPr="00277B83">
              <w:rPr>
                <w:lang w:val="uk-UA"/>
              </w:rPr>
              <w:t>Медико-технічні характеристика предмета закупівлі (опис предмета закупівлі)</w:t>
            </w:r>
          </w:p>
        </w:tc>
      </w:tr>
      <w:tr w:rsidR="00277B83" w:rsidRPr="00277B83" w:rsidTr="00277B83">
        <w:trPr>
          <w:trHeight w:val="309"/>
        </w:trPr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9356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b/>
                <w:bCs/>
                <w:i/>
                <w:lang w:val="uk-UA"/>
              </w:rPr>
              <w:t xml:space="preserve">   1. </w:t>
            </w:r>
            <w:r w:rsidRPr="00277B83">
              <w:rPr>
                <w:b/>
                <w:i/>
                <w:lang w:val="uk-UA"/>
              </w:rPr>
              <w:t xml:space="preserve">Дезінфекційний засіб  </w:t>
            </w:r>
          </w:p>
        </w:tc>
      </w:tr>
      <w:tr w:rsidR="00277B83" w:rsidRPr="00277B83" w:rsidTr="00277B83">
        <w:trPr>
          <w:trHeight w:val="309"/>
        </w:trPr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1.1.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 xml:space="preserve">Форма випуску- однорідна концентрована рідина, добре </w:t>
            </w:r>
            <w:proofErr w:type="spellStart"/>
            <w:r w:rsidRPr="00277B83">
              <w:rPr>
                <w:lang w:val="uk-UA"/>
              </w:rPr>
              <w:t>розчинняється</w:t>
            </w:r>
            <w:proofErr w:type="spellEnd"/>
            <w:r w:rsidRPr="00277B83">
              <w:rPr>
                <w:lang w:val="uk-UA"/>
              </w:rPr>
              <w:t xml:space="preserve"> у воді.</w:t>
            </w:r>
          </w:p>
        </w:tc>
      </w:tr>
      <w:tr w:rsidR="00277B83" w:rsidRPr="00277B83" w:rsidTr="00277B83">
        <w:trPr>
          <w:trHeight w:val="616"/>
        </w:trPr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1.2.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77B83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Призначення засобу д</w:t>
            </w:r>
            <w:r w:rsidRPr="00277B83">
              <w:rPr>
                <w:rFonts w:ascii="Times New Roman" w:hAnsi="Times New Roman" w:cs="Times New Roman"/>
                <w:lang w:val="uk-UA"/>
              </w:rPr>
              <w:t xml:space="preserve">езінфекція та стерилізація, у тому числі суміщення з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достерилізаційним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очищенням виробів медичного призначення, включаючи ендоскопи та інструменти до них, хірургічних і стоматологічних інструментів; дезінфекція високого рівня (ДВР)</w:t>
            </w:r>
          </w:p>
        </w:tc>
      </w:tr>
      <w:tr w:rsidR="00277B83" w:rsidRPr="00277B83" w:rsidTr="00277B83">
        <w:trPr>
          <w:trHeight w:val="287"/>
        </w:trPr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1.3.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B83">
              <w:rPr>
                <w:rFonts w:ascii="Times New Roman" w:hAnsi="Times New Roman" w:cs="Times New Roman"/>
                <w:lang w:val="uk-UA"/>
              </w:rPr>
              <w:t xml:space="preserve">Склад засобу, мас%: не менше 22,0 %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глутаровий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альдегід, не менше 10,0 % С12-14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алкілдиметилбензиламонію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хлориду. </w:t>
            </w:r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Обов’язкова наявність антикорозійних добавок</w:t>
            </w:r>
            <w:r w:rsidRPr="00277B8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хелатного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комплексу,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тензідів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неіоногенні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та катіонні ПАР). </w:t>
            </w:r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Сумарна кількість діючих речовин у концентраті засобу повинна становити не менше 32%</w:t>
            </w:r>
          </w:p>
        </w:tc>
      </w:tr>
      <w:tr w:rsidR="00277B83" w:rsidRPr="00277B83" w:rsidTr="00277B83">
        <w:trPr>
          <w:trHeight w:val="429"/>
        </w:trPr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1.4.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pStyle w:val="a5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277B83">
              <w:rPr>
                <w:rFonts w:ascii="Times New Roman" w:eastAsia="Times New Roman" w:hAnsi="Times New Roman"/>
                <w:color w:val="000000"/>
                <w:lang w:val="uk-UA" w:eastAsia="ru-RU"/>
              </w:rPr>
              <w:t>В складі препарату не повинні міститися формальдегід,</w:t>
            </w:r>
            <w:r w:rsidRPr="00277B83">
              <w:rPr>
                <w:rFonts w:ascii="Times New Roman" w:hAnsi="Times New Roman"/>
                <w:lang w:val="uk-UA"/>
              </w:rPr>
              <w:t xml:space="preserve">  у тому числі речовини, які при розведенні водою виробляють формальдегід (наприклад (</w:t>
            </w:r>
            <w:proofErr w:type="spellStart"/>
            <w:r w:rsidRPr="00277B83">
              <w:rPr>
                <w:rFonts w:ascii="Times New Roman" w:hAnsi="Times New Roman"/>
                <w:lang w:val="uk-UA"/>
              </w:rPr>
              <w:t>етилендіоксі</w:t>
            </w:r>
            <w:proofErr w:type="spellEnd"/>
            <w:r w:rsidRPr="00277B83">
              <w:rPr>
                <w:rFonts w:ascii="Times New Roman" w:hAnsi="Times New Roman"/>
                <w:lang w:val="uk-UA"/>
              </w:rPr>
              <w:t xml:space="preserve">) </w:t>
            </w:r>
            <w:proofErr w:type="spellStart"/>
            <w:r w:rsidRPr="00277B83">
              <w:rPr>
                <w:rFonts w:ascii="Times New Roman" w:hAnsi="Times New Roman"/>
                <w:lang w:val="uk-UA"/>
              </w:rPr>
              <w:t>диметанол</w:t>
            </w:r>
            <w:proofErr w:type="spellEnd"/>
            <w:r w:rsidRPr="00277B83">
              <w:rPr>
                <w:rFonts w:ascii="Times New Roman" w:hAnsi="Times New Roman"/>
                <w:lang w:val="uk-UA"/>
              </w:rPr>
              <w:t>)</w:t>
            </w:r>
            <w:r w:rsidRPr="00277B83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277B83">
              <w:rPr>
                <w:rFonts w:ascii="Times New Roman" w:eastAsia="Times New Roman" w:hAnsi="Times New Roman"/>
                <w:color w:val="000000"/>
                <w:lang w:val="uk-UA" w:eastAsia="ru-RU"/>
              </w:rPr>
              <w:t>гліоксаль</w:t>
            </w:r>
            <w:proofErr w:type="spellEnd"/>
            <w:r w:rsidRPr="00277B83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, хлор, </w:t>
            </w:r>
            <w:proofErr w:type="spellStart"/>
            <w:r w:rsidRPr="00277B83">
              <w:rPr>
                <w:rFonts w:ascii="Times New Roman" w:eastAsia="Times New Roman" w:hAnsi="Times New Roman"/>
                <w:color w:val="000000"/>
                <w:lang w:val="uk-UA" w:eastAsia="ru-RU"/>
              </w:rPr>
              <w:t>гліоксалевий</w:t>
            </w:r>
            <w:proofErr w:type="spellEnd"/>
            <w:r w:rsidRPr="00277B83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альдегід, окисники, </w:t>
            </w:r>
            <w:proofErr w:type="spellStart"/>
            <w:r w:rsidRPr="00277B83">
              <w:rPr>
                <w:rFonts w:ascii="Times New Roman" w:eastAsia="Times New Roman" w:hAnsi="Times New Roman"/>
                <w:color w:val="000000"/>
                <w:lang w:val="uk-UA" w:eastAsia="ru-RU"/>
              </w:rPr>
              <w:t>гуанідіни</w:t>
            </w:r>
            <w:proofErr w:type="spellEnd"/>
            <w:r w:rsidRPr="00277B83">
              <w:rPr>
                <w:rFonts w:ascii="Times New Roman" w:eastAsia="Times New Roman" w:hAnsi="Times New Roman"/>
                <w:color w:val="000000"/>
                <w:lang w:val="uk-UA" w:eastAsia="ru-RU"/>
              </w:rPr>
              <w:t>, аміни, спирти, ферменти (ензими).</w:t>
            </w:r>
          </w:p>
        </w:tc>
      </w:tr>
      <w:tr w:rsidR="00277B83" w:rsidRPr="00277B83" w:rsidTr="00277B83">
        <w:trPr>
          <w:trHeight w:val="586"/>
        </w:trPr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lastRenderedPageBreak/>
              <w:t>1.5.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 xml:space="preserve">Робочий розчин засобу  повинен мати добрі змочувальні, миючі </w:t>
            </w:r>
            <w:proofErr w:type="spellStart"/>
            <w:r w:rsidRPr="00277B83">
              <w:rPr>
                <w:lang w:val="uk-UA"/>
              </w:rPr>
              <w:t>емульгуючі</w:t>
            </w:r>
            <w:proofErr w:type="spellEnd"/>
            <w:r w:rsidRPr="00277B83">
              <w:rPr>
                <w:lang w:val="uk-UA"/>
              </w:rPr>
              <w:t xml:space="preserve"> та дезодоруючі властивості, не викликають корозії металу, не пошкоджують вироби з металу, скла, термостабільних і термолабільних матеріалів, гуми </w:t>
            </w:r>
            <w:proofErr w:type="spellStart"/>
            <w:r w:rsidRPr="00277B83">
              <w:rPr>
                <w:lang w:val="uk-UA"/>
              </w:rPr>
              <w:t>каучуків</w:t>
            </w:r>
            <w:proofErr w:type="spellEnd"/>
            <w:r w:rsidRPr="00277B83">
              <w:rPr>
                <w:lang w:val="uk-UA"/>
              </w:rPr>
              <w:t xml:space="preserve">, полімерних матеріалів,  штучної шкіри, кахлю, порцеляни, фаянсу, дерева та інших матеріалів, поверхні медичних приладів і устаткування з лакофарбовим, гальванічним і полімерним покриттям, не знебарвлюють і не зменшують міцність тканин, має високу миючу та </w:t>
            </w:r>
            <w:proofErr w:type="spellStart"/>
            <w:r w:rsidRPr="00277B83">
              <w:rPr>
                <w:lang w:val="uk-UA"/>
              </w:rPr>
              <w:t>знежирюючу</w:t>
            </w:r>
            <w:proofErr w:type="spellEnd"/>
            <w:r w:rsidRPr="00277B83">
              <w:rPr>
                <w:lang w:val="uk-UA"/>
              </w:rPr>
              <w:t xml:space="preserve"> дію, ефективно розчиняють та видаляють органічні та неорганічні забруднення.</w:t>
            </w:r>
          </w:p>
        </w:tc>
      </w:tr>
      <w:tr w:rsidR="00277B83" w:rsidRPr="00277B83" w:rsidTr="00277B83"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1.6.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ind w:left="57" w:right="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77B83">
              <w:rPr>
                <w:rFonts w:ascii="Times New Roman" w:hAnsi="Times New Roman" w:cs="Times New Roman"/>
                <w:lang w:val="uk-UA"/>
              </w:rPr>
              <w:t xml:space="preserve">Робочі розчини не фіксують органічні забруднення, мають високу миючу та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знежирюючу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дію, ефективно розчиняють та видаляють органічні та неорганічні забруднення (у т. ч. залишки крові, ліків, білкові, жирові та ін. види забруднень) з поверхонь, із внутрішніх каналів, порожнин та інших важкодоступних місць; добре змиваються, не залишають липкої плівки і плям на поверхнях об’єктів, що піддаються обробці; гомогенізують мокротиння та інші виділення. </w:t>
            </w:r>
          </w:p>
        </w:tc>
      </w:tr>
      <w:tr w:rsidR="00277B83" w:rsidRPr="00277B83" w:rsidTr="00277B83"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1.7.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pStyle w:val="TableParagraph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Призначення: -проведення поточної, заключної та профілактичної дезінфекції;</w:t>
            </w:r>
          </w:p>
          <w:p w:rsidR="00277B83" w:rsidRPr="00277B83" w:rsidRDefault="00277B83" w:rsidP="00277B83">
            <w:pPr>
              <w:pStyle w:val="TableParagraph"/>
              <w:numPr>
                <w:ilvl w:val="0"/>
                <w:numId w:val="2"/>
              </w:numPr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у закладах охорони здоров’я будь-якого профілю;</w:t>
            </w:r>
          </w:p>
          <w:p w:rsidR="00277B83" w:rsidRPr="00277B83" w:rsidRDefault="00277B83" w:rsidP="00277B83">
            <w:pPr>
              <w:pStyle w:val="TableParagraph"/>
              <w:numPr>
                <w:ilvl w:val="0"/>
                <w:numId w:val="2"/>
              </w:numPr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 xml:space="preserve">-для дезінфекції, суміщення процесів дезінфекції і </w:t>
            </w:r>
            <w:proofErr w:type="spellStart"/>
            <w:r w:rsidRPr="00277B83">
              <w:rPr>
                <w:lang w:val="uk-UA"/>
              </w:rPr>
              <w:t>достерилізаційного</w:t>
            </w:r>
            <w:proofErr w:type="spellEnd"/>
            <w:r w:rsidRPr="00277B83">
              <w:rPr>
                <w:lang w:val="uk-UA"/>
              </w:rPr>
              <w:t xml:space="preserve"> очищення (ручним і механізованим способом, в установках ультразвукового очищення)  усіх виробів медичного призначення з різних матеріалів одноразового і багаторазового призначення, включаючи гнучкі і жорсткі ендоскопи та інструменти до них;</w:t>
            </w:r>
          </w:p>
          <w:p w:rsidR="00277B83" w:rsidRPr="00277B83" w:rsidRDefault="00277B83" w:rsidP="00277B83">
            <w:pPr>
              <w:pStyle w:val="TableParagraph"/>
              <w:numPr>
                <w:ilvl w:val="0"/>
                <w:numId w:val="2"/>
              </w:numPr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-для дезінфекції високого рівня виробів медичного призначення( у т. ч. ендоскопів та інструментів до них)</w:t>
            </w:r>
          </w:p>
          <w:p w:rsidR="00277B83" w:rsidRPr="00277B83" w:rsidRDefault="00277B83" w:rsidP="00277B83">
            <w:pPr>
              <w:pStyle w:val="TableParagraph"/>
              <w:numPr>
                <w:ilvl w:val="0"/>
                <w:numId w:val="2"/>
              </w:numPr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 xml:space="preserve">-для </w:t>
            </w:r>
            <w:proofErr w:type="spellStart"/>
            <w:r w:rsidRPr="00277B83">
              <w:rPr>
                <w:lang w:val="uk-UA"/>
              </w:rPr>
              <w:t>достерилізації</w:t>
            </w:r>
            <w:proofErr w:type="spellEnd"/>
            <w:r w:rsidRPr="00277B83">
              <w:rPr>
                <w:lang w:val="uk-UA"/>
              </w:rPr>
              <w:t xml:space="preserve"> очищення усіх видів виробів медичного призначення з різних матеріалі та медичного інструментарію, включаючи гнучкі та жорсткі ендоскопи та інструменти до них;</w:t>
            </w:r>
          </w:p>
          <w:p w:rsidR="00277B83" w:rsidRPr="00277B83" w:rsidRDefault="00277B83" w:rsidP="00277B83">
            <w:pPr>
              <w:pStyle w:val="TableParagraph"/>
              <w:numPr>
                <w:ilvl w:val="0"/>
                <w:numId w:val="2"/>
              </w:numPr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-для стерилізації виробів медичного призначення з різних матеріалів одноразового і багаторазового призначення, включаючи гнучкі і жорсткі ендоскопи та інструменти до них, хірургічні (в тому числі мікрохірургіч</w:t>
            </w:r>
            <w:bookmarkStart w:id="0" w:name="_GoBack"/>
            <w:bookmarkEnd w:id="0"/>
            <w:r w:rsidRPr="00277B83">
              <w:rPr>
                <w:lang w:val="uk-UA"/>
              </w:rPr>
              <w:t>ні)  та інші інструменти;</w:t>
            </w:r>
          </w:p>
          <w:p w:rsidR="00277B83" w:rsidRPr="00277B83" w:rsidRDefault="00277B83" w:rsidP="00277B83">
            <w:pPr>
              <w:pStyle w:val="TableParagraph"/>
              <w:numPr>
                <w:ilvl w:val="0"/>
                <w:numId w:val="2"/>
              </w:numPr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 xml:space="preserve">-знезараження перед утилізацією використаних виробів медичного призначення одноразового використання, медичних відходів з текстильних матеріалів (у т. ч. </w:t>
            </w:r>
            <w:proofErr w:type="spellStart"/>
            <w:r w:rsidRPr="00277B83">
              <w:rPr>
                <w:lang w:val="uk-UA"/>
              </w:rPr>
              <w:t>перевязувальні</w:t>
            </w:r>
            <w:proofErr w:type="spellEnd"/>
            <w:r w:rsidRPr="00277B83">
              <w:rPr>
                <w:lang w:val="uk-UA"/>
              </w:rPr>
              <w:t xml:space="preserve"> матеріали, ватяні тампони, серветки, одноразовий одяг, постільна білизна, предмети догляду за хворими, посуд  з-під виділень, посуд для їжі тощо), біологічних рідин (кров, сироватка, мокротиння тощо).</w:t>
            </w:r>
          </w:p>
        </w:tc>
      </w:tr>
      <w:tr w:rsidR="00277B83" w:rsidRPr="00277B83" w:rsidTr="00277B83">
        <w:trPr>
          <w:trHeight w:val="996"/>
        </w:trPr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1.8.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ind w:left="57" w:right="57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277B83">
              <w:rPr>
                <w:rFonts w:ascii="Times New Roman" w:hAnsi="Times New Roman" w:cs="Times New Roman"/>
                <w:lang w:val="uk-UA"/>
              </w:rPr>
              <w:t xml:space="preserve">Спектр антимікробної дії: </w:t>
            </w:r>
            <w:r w:rsidRPr="00277B83">
              <w:rPr>
                <w:rFonts w:ascii="Times New Roman" w:hAnsi="Times New Roman" w:cs="Times New Roman"/>
                <w:spacing w:val="3"/>
                <w:lang w:val="uk-UA"/>
              </w:rPr>
              <w:t>щодо</w:t>
            </w:r>
            <w:r w:rsidRPr="00277B8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грамнегативних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та грампозитивних</w:t>
            </w:r>
            <w:r w:rsidRPr="00277B83">
              <w:rPr>
                <w:rFonts w:ascii="Times New Roman" w:hAnsi="Times New Roman" w:cs="Times New Roman"/>
                <w:spacing w:val="3"/>
                <w:lang w:val="uk-UA"/>
              </w:rPr>
              <w:t xml:space="preserve"> бактерій </w:t>
            </w:r>
            <w:r w:rsidRPr="00277B83">
              <w:rPr>
                <w:rFonts w:ascii="Times New Roman" w:hAnsi="Times New Roman" w:cs="Times New Roman"/>
                <w:spacing w:val="-1"/>
                <w:lang w:val="uk-UA"/>
              </w:rPr>
              <w:t xml:space="preserve">(включаючи збудників туберкульозу (у т. ч. </w:t>
            </w:r>
            <w:proofErr w:type="spellStart"/>
            <w:r w:rsidRPr="00277B83">
              <w:rPr>
                <w:rFonts w:ascii="Times New Roman" w:eastAsia="Arial" w:hAnsi="Times New Roman" w:cs="Times New Roman"/>
                <w:lang w:val="uk-UA"/>
              </w:rPr>
              <w:t>Mycobacterium</w:t>
            </w:r>
            <w:proofErr w:type="spellEnd"/>
            <w:r w:rsidRPr="00277B83">
              <w:rPr>
                <w:rFonts w:ascii="Times New Roman" w:eastAsia="Arial" w:hAnsi="Times New Roman" w:cs="Times New Roman"/>
                <w:lang w:val="uk-UA"/>
              </w:rPr>
              <w:t xml:space="preserve"> </w:t>
            </w:r>
            <w:proofErr w:type="spellStart"/>
            <w:r w:rsidRPr="00277B83">
              <w:rPr>
                <w:rFonts w:ascii="Times New Roman" w:eastAsia="Arial" w:hAnsi="Times New Roman" w:cs="Times New Roman"/>
                <w:lang w:val="uk-UA"/>
              </w:rPr>
              <w:t>avium</w:t>
            </w:r>
            <w:proofErr w:type="spellEnd"/>
            <w:r w:rsidRPr="00277B83">
              <w:rPr>
                <w:rFonts w:ascii="Times New Roman" w:eastAsia="Arial" w:hAnsi="Times New Roman" w:cs="Times New Roman"/>
                <w:lang w:val="uk-UA"/>
              </w:rPr>
              <w:t xml:space="preserve"> та </w:t>
            </w:r>
            <w:proofErr w:type="spellStart"/>
            <w:r w:rsidRPr="00277B83">
              <w:rPr>
                <w:rFonts w:ascii="Times New Roman" w:eastAsia="Arial" w:hAnsi="Times New Roman" w:cs="Times New Roman"/>
                <w:lang w:val="uk-UA"/>
              </w:rPr>
              <w:t>Mycobacterium</w:t>
            </w:r>
            <w:proofErr w:type="spellEnd"/>
            <w:r w:rsidRPr="00277B83"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spacing w:val="-1"/>
                <w:lang w:val="uk-UA"/>
              </w:rPr>
              <w:t>terrae</w:t>
            </w:r>
            <w:proofErr w:type="spellEnd"/>
            <w:r w:rsidRPr="00277B83">
              <w:rPr>
                <w:rFonts w:ascii="Times New Roman" w:hAnsi="Times New Roman" w:cs="Times New Roman"/>
                <w:spacing w:val="-1"/>
                <w:lang w:val="uk-UA"/>
              </w:rPr>
              <w:t xml:space="preserve">), кишкових (включаючи </w:t>
            </w:r>
            <w:proofErr w:type="spellStart"/>
            <w:r w:rsidRPr="00277B83">
              <w:rPr>
                <w:rFonts w:ascii="Times New Roman" w:hAnsi="Times New Roman" w:cs="Times New Roman"/>
                <w:spacing w:val="-1"/>
                <w:lang w:val="uk-UA"/>
              </w:rPr>
              <w:t>antibionic</w:t>
            </w:r>
            <w:proofErr w:type="spellEnd"/>
            <w:r w:rsidRPr="00277B83"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spacing w:val="-1"/>
                <w:lang w:val="uk-UA"/>
              </w:rPr>
              <w:t>resistant</w:t>
            </w:r>
            <w:proofErr w:type="spellEnd"/>
            <w:r w:rsidRPr="00277B83">
              <w:rPr>
                <w:rFonts w:ascii="Times New Roman" w:hAnsi="Times New Roman" w:cs="Times New Roman"/>
                <w:spacing w:val="-1"/>
                <w:lang w:val="uk-UA"/>
              </w:rPr>
              <w:t xml:space="preserve">) і крапельних інфекцій бактеріальної етіології, у т. ч. резистентні штами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внутрішньолікарняних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інфекцій, зокрема,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мультирезистентний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золотистий стафілокок (MRSA),</w:t>
            </w:r>
            <w:r w:rsidRPr="00277B83">
              <w:rPr>
                <w:rFonts w:ascii="Times New Roman" w:hAnsi="Times New Roman" w:cs="Times New Roman"/>
                <w:bCs/>
                <w:i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bCs/>
                <w:iCs/>
                <w:shd w:val="clear" w:color="auto" w:fill="FFFFFF"/>
                <w:lang w:val="uk-UA"/>
              </w:rPr>
              <w:t>Acinetobacter</w:t>
            </w:r>
            <w:proofErr w:type="spellEnd"/>
            <w:r w:rsidRPr="00277B83">
              <w:rPr>
                <w:rFonts w:ascii="Times New Roman" w:hAnsi="Times New Roman" w:cs="Times New Roman"/>
                <w:bCs/>
                <w:i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>baumannii</w:t>
            </w:r>
            <w:proofErr w:type="spellEnd"/>
            <w:r w:rsidRPr="00277B83">
              <w:rPr>
                <w:rFonts w:ascii="Times New Roman" w:hAnsi="Times New Roman" w:cs="Times New Roman"/>
                <w:bCs/>
                <w:iCs/>
                <w:shd w:val="clear" w:color="auto" w:fill="FFFFFF"/>
                <w:lang w:val="uk-UA"/>
              </w:rPr>
              <w:t>,</w:t>
            </w:r>
            <w:r w:rsidRPr="00277B8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Enterobater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agglomerans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ентерокок, протей,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Helicobacter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pylory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ешерихії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Enterohaemorrhagic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E.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coli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0157 (EHEC),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Enterococcus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faecalis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Klebsiella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pneumoniae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Proteus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mirabilis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Helicobacter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pylori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Ps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aeruginosa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ванкомицин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-резистентний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ентерококк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(VRE), штами бактерій, продукуючі бета-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лактамази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широкого і розширеного спектрів (ESBL), та збудники інших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внутрішньолікарняних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інфекцій, у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антибіотикорезистентні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),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шигели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клостридії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сальмонели,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клебсієли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легіонели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лептоспіри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ієрсінії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коринебактерії, стрептококи, стафілококи,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менінгококи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>, особливо-небезпечні інфекції: чума, туляремія, черевний тиф, холера та інші види бактерій</w:t>
            </w:r>
            <w:r w:rsidRPr="00277B83">
              <w:rPr>
                <w:rFonts w:ascii="Times New Roman" w:hAnsi="Times New Roman" w:cs="Times New Roman"/>
                <w:spacing w:val="-1"/>
                <w:lang w:val="uk-UA"/>
              </w:rPr>
              <w:t xml:space="preserve">, оболонкових та </w:t>
            </w:r>
            <w:proofErr w:type="spellStart"/>
            <w:r w:rsidRPr="00277B83">
              <w:rPr>
                <w:rFonts w:ascii="Times New Roman" w:hAnsi="Times New Roman" w:cs="Times New Roman"/>
                <w:spacing w:val="-1"/>
                <w:lang w:val="uk-UA"/>
              </w:rPr>
              <w:t>безоболонкових</w:t>
            </w:r>
            <w:proofErr w:type="spellEnd"/>
            <w:r w:rsidRPr="00277B83"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r w:rsidRPr="00277B83">
              <w:rPr>
                <w:rFonts w:ascii="Times New Roman" w:hAnsi="Times New Roman" w:cs="Times New Roman"/>
                <w:spacing w:val="2"/>
                <w:lang w:val="uk-UA"/>
              </w:rPr>
              <w:t xml:space="preserve">вірусів (у </w:t>
            </w:r>
            <w:proofErr w:type="spellStart"/>
            <w:r w:rsidRPr="00277B83">
              <w:rPr>
                <w:rFonts w:ascii="Times New Roman" w:hAnsi="Times New Roman" w:cs="Times New Roman"/>
                <w:spacing w:val="2"/>
                <w:lang w:val="uk-UA"/>
              </w:rPr>
              <w:t>т.ч</w:t>
            </w:r>
            <w:proofErr w:type="spellEnd"/>
            <w:r w:rsidRPr="00277B83">
              <w:rPr>
                <w:rFonts w:ascii="Times New Roman" w:hAnsi="Times New Roman" w:cs="Times New Roman"/>
                <w:spacing w:val="2"/>
                <w:lang w:val="uk-UA"/>
              </w:rPr>
              <w:t xml:space="preserve">. збудників гепатитів А, В, С, </w:t>
            </w:r>
            <w:r w:rsidRPr="00277B83">
              <w:rPr>
                <w:rFonts w:ascii="Times New Roman" w:hAnsi="Times New Roman" w:cs="Times New Roman"/>
                <w:lang w:val="uk-UA"/>
              </w:rPr>
              <w:t xml:space="preserve">D, E, F, G, </w:t>
            </w:r>
            <w:r w:rsidRPr="00277B83">
              <w:rPr>
                <w:rFonts w:ascii="Times New Roman" w:hAnsi="Times New Roman" w:cs="Times New Roman"/>
                <w:spacing w:val="2"/>
                <w:lang w:val="uk-UA"/>
              </w:rPr>
              <w:t xml:space="preserve">ВІЛ-інфекції, </w:t>
            </w:r>
            <w:r w:rsidRPr="00277B83">
              <w:rPr>
                <w:rFonts w:ascii="Times New Roman" w:hAnsi="Times New Roman" w:cs="Times New Roman"/>
                <w:lang w:val="uk-UA"/>
              </w:rPr>
              <w:t xml:space="preserve">герпес-,  каліці-,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параміксо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-, ханта-,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вакцинія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-, рота-,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норо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-,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папова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-,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ентеро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- (у т. ч.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поліовірусні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ECHO,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Коксакі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>), респіраторно-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синцитіальні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рино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-, аденовірусних інфекцій, корона вірусів, у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277B83">
              <w:rPr>
                <w:rFonts w:ascii="Times New Roman" w:hAnsi="Times New Roman" w:cs="Times New Roman"/>
                <w:spacing w:val="2"/>
                <w:lang w:val="uk-UA"/>
              </w:rPr>
              <w:t>SARS-Cov-2, що викликає COVID-19,</w:t>
            </w:r>
            <w:r w:rsidRPr="00277B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77B83">
              <w:rPr>
                <w:rFonts w:ascii="Times New Roman" w:hAnsi="Times New Roman" w:cs="Times New Roman"/>
                <w:spacing w:val="-2"/>
                <w:lang w:val="uk-UA"/>
              </w:rPr>
              <w:t xml:space="preserve">лихоманки </w:t>
            </w:r>
            <w:proofErr w:type="spellStart"/>
            <w:r w:rsidRPr="00277B83">
              <w:rPr>
                <w:rFonts w:ascii="Times New Roman" w:hAnsi="Times New Roman" w:cs="Times New Roman"/>
                <w:spacing w:val="-2"/>
                <w:lang w:val="uk-UA"/>
              </w:rPr>
              <w:t>Ебола</w:t>
            </w:r>
            <w:proofErr w:type="spellEnd"/>
            <w:r w:rsidRPr="00277B83">
              <w:rPr>
                <w:rFonts w:ascii="Times New Roman" w:hAnsi="Times New Roman" w:cs="Times New Roman"/>
                <w:spacing w:val="-2"/>
                <w:lang w:val="uk-UA"/>
              </w:rPr>
              <w:t>,</w:t>
            </w:r>
            <w:r w:rsidRPr="00277B83">
              <w:rPr>
                <w:rFonts w:ascii="Times New Roman" w:hAnsi="Times New Roman" w:cs="Times New Roman"/>
                <w:lang w:val="uk-UA"/>
              </w:rPr>
              <w:t xml:space="preserve"> збудників різних видів грипу та парагрипу, зокрема: A(H5N1) «пташиний грип», A(H1N1) «свинячий грип»)</w:t>
            </w:r>
            <w:r w:rsidRPr="00277B83">
              <w:rPr>
                <w:rFonts w:ascii="Times New Roman" w:hAnsi="Times New Roman" w:cs="Times New Roman"/>
                <w:spacing w:val="2"/>
                <w:lang w:val="uk-UA"/>
              </w:rPr>
              <w:t xml:space="preserve">, </w:t>
            </w:r>
            <w:r w:rsidRPr="00277B83">
              <w:rPr>
                <w:rFonts w:ascii="Times New Roman" w:hAnsi="Times New Roman" w:cs="Times New Roman"/>
                <w:lang w:val="uk-UA"/>
              </w:rPr>
              <w:t xml:space="preserve">фунгіцидні </w:t>
            </w:r>
            <w:bookmarkStart w:id="1" w:name="OLE_LINK8"/>
            <w:r w:rsidRPr="00277B83">
              <w:rPr>
                <w:rFonts w:ascii="Times New Roman" w:hAnsi="Times New Roman" w:cs="Times New Roman"/>
                <w:lang w:val="uk-UA"/>
              </w:rPr>
              <w:t xml:space="preserve">(включаючи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кандидози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дерматомікози (у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трихофітії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), плісняві гриби, (у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аспергильози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>))</w:t>
            </w:r>
            <w:bookmarkEnd w:id="1"/>
            <w:r w:rsidRPr="00277B83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</w:t>
            </w:r>
            <w:r w:rsidRPr="00277B83">
              <w:rPr>
                <w:rFonts w:ascii="Times New Roman" w:hAnsi="Times New Roman" w:cs="Times New Roman"/>
                <w:lang w:val="uk-UA"/>
              </w:rPr>
              <w:t xml:space="preserve">та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спороцидні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властивості (B.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subtilis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, B.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anthracoides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>,</w:t>
            </w:r>
            <w:r w:rsidRPr="00277B83">
              <w:rPr>
                <w:rFonts w:ascii="Times New Roman" w:hAnsi="Times New Roman" w:cs="Times New Roman"/>
                <w:lang w:val="uk-UA" w:bidi="en-US"/>
              </w:rPr>
              <w:t xml:space="preserve"> </w:t>
            </w:r>
            <w:r w:rsidRPr="00277B83">
              <w:rPr>
                <w:rFonts w:ascii="Times New Roman" w:hAnsi="Times New Roman" w:cs="Times New Roman"/>
                <w:iCs/>
                <w:lang w:val="uk-UA"/>
              </w:rPr>
              <w:t xml:space="preserve">B. </w:t>
            </w:r>
            <w:proofErr w:type="spellStart"/>
            <w:r w:rsidRPr="00277B83">
              <w:rPr>
                <w:rFonts w:ascii="Times New Roman" w:hAnsi="Times New Roman" w:cs="Times New Roman"/>
                <w:iCs/>
                <w:lang w:val="uk-UA"/>
              </w:rPr>
              <w:t>anthracis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>,</w:t>
            </w:r>
            <w:r w:rsidRPr="00277B83">
              <w:rPr>
                <w:rFonts w:ascii="Times New Roman" w:hAnsi="Times New Roman" w:cs="Times New Roman"/>
                <w:lang w:val="uk-UA" w:bidi="en-US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lang w:val="uk-UA" w:bidi="en-US"/>
              </w:rPr>
              <w:t>Clostridium</w:t>
            </w:r>
            <w:proofErr w:type="spellEnd"/>
            <w:r w:rsidRPr="00277B83">
              <w:rPr>
                <w:rFonts w:ascii="Times New Roman" w:hAnsi="Times New Roman" w:cs="Times New Roman"/>
                <w:lang w:val="uk-UA" w:bidi="en-US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lang w:val="uk-UA" w:bidi="en-US"/>
              </w:rPr>
              <w:t>difficile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); засіб має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овоцидні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ларвіцидні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властивості проти збудників паразитарних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хвороб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(цист, </w:t>
            </w:r>
            <w:proofErr w:type="spellStart"/>
            <w:r w:rsidRPr="00277B83">
              <w:rPr>
                <w:rFonts w:ascii="Times New Roman" w:hAnsi="Times New Roman" w:cs="Times New Roman"/>
                <w:lang w:val="uk-UA"/>
              </w:rPr>
              <w:t>ооцист</w:t>
            </w:r>
            <w:proofErr w:type="spellEnd"/>
            <w:r w:rsidRPr="00277B83">
              <w:rPr>
                <w:rFonts w:ascii="Times New Roman" w:hAnsi="Times New Roman" w:cs="Times New Roman"/>
                <w:lang w:val="uk-UA"/>
              </w:rPr>
              <w:t xml:space="preserve"> найпростіших, яєць і личинок гельмінтів, гостриків)</w:t>
            </w:r>
            <w:r w:rsidRPr="00277B83">
              <w:rPr>
                <w:rFonts w:ascii="Times New Roman" w:hAnsi="Times New Roman" w:cs="Times New Roman"/>
                <w:spacing w:val="-2"/>
                <w:lang w:val="uk-UA"/>
              </w:rPr>
              <w:t xml:space="preserve">. </w:t>
            </w:r>
          </w:p>
        </w:tc>
      </w:tr>
      <w:tr w:rsidR="00277B83" w:rsidRPr="00277B83" w:rsidTr="00277B83">
        <w:trPr>
          <w:trHeight w:val="766"/>
        </w:trPr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1.9.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pStyle w:val="TableParagraph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 xml:space="preserve">Токсичність та безпечність засобу: засіб повинен відноситись до 3 класу </w:t>
            </w:r>
            <w:proofErr w:type="spellStart"/>
            <w:r w:rsidRPr="00277B83">
              <w:rPr>
                <w:lang w:val="uk-UA"/>
              </w:rPr>
              <w:t>помірно</w:t>
            </w:r>
            <w:proofErr w:type="spellEnd"/>
            <w:r w:rsidRPr="00277B83">
              <w:rPr>
                <w:lang w:val="uk-UA"/>
              </w:rPr>
              <w:t xml:space="preserve"> небезпечних речовин при введені в шлунок та </w:t>
            </w:r>
            <w:proofErr w:type="spellStart"/>
            <w:r w:rsidRPr="00277B83">
              <w:rPr>
                <w:lang w:val="uk-UA"/>
              </w:rPr>
              <w:t>принанесенні</w:t>
            </w:r>
            <w:proofErr w:type="spellEnd"/>
            <w:r w:rsidRPr="00277B83">
              <w:rPr>
                <w:lang w:val="uk-UA"/>
              </w:rPr>
              <w:t xml:space="preserve"> на шкіру згідно із законодавством, що діє на території України. Не виявляти місцево-подразнюючої, шкірно-</w:t>
            </w:r>
            <w:proofErr w:type="spellStart"/>
            <w:r w:rsidRPr="00277B83">
              <w:rPr>
                <w:lang w:val="uk-UA"/>
              </w:rPr>
              <w:t>резорбтивної</w:t>
            </w:r>
            <w:proofErr w:type="spellEnd"/>
            <w:r w:rsidRPr="00277B83">
              <w:rPr>
                <w:lang w:val="uk-UA"/>
              </w:rPr>
              <w:t xml:space="preserve"> і сенсибілізуючої дії відсутні віддалені побічні ефекти.</w:t>
            </w:r>
          </w:p>
        </w:tc>
      </w:tr>
      <w:tr w:rsidR="00277B83" w:rsidRPr="00277B83" w:rsidTr="00277B83">
        <w:trPr>
          <w:trHeight w:val="283"/>
        </w:trPr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1.10.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ind w:left="57" w:right="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77B83">
              <w:rPr>
                <w:rFonts w:ascii="Times New Roman" w:hAnsi="Times New Roman" w:cs="Times New Roman"/>
                <w:lang w:val="uk-UA"/>
              </w:rPr>
              <w:t xml:space="preserve">Засіб  повинен відповідати Європейським стандартам EN 13624, EN 13727, EN 14561, EN 14348, EN 14563, EN14476, EN13704. Ефективно видаляє та попереджає утворення біологічних плівок. Активний проти груп мікроорганізмів у біологічних плівках. </w:t>
            </w:r>
          </w:p>
        </w:tc>
      </w:tr>
      <w:tr w:rsidR="00277B83" w:rsidRPr="00277B83" w:rsidTr="00277B83">
        <w:trPr>
          <w:trHeight w:val="283"/>
        </w:trPr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1.11.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pStyle w:val="TableParagraph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Термін зберігання робочого розчину до 35 діб у посуді зі щільно закритою кришкою.</w:t>
            </w:r>
          </w:p>
        </w:tc>
      </w:tr>
      <w:tr w:rsidR="00277B83" w:rsidRPr="00277B83" w:rsidTr="00277B83"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1.12.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Наявність вибору зручного режиму для стерилізації (5, 15, 30, 60хв)</w:t>
            </w:r>
          </w:p>
        </w:tc>
      </w:tr>
      <w:tr w:rsidR="00277B83" w:rsidRPr="00277B83" w:rsidTr="00277B83"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1.13.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Сумісність засобу з різними матеріалами хірургічних, стоматологічних інструментів (</w:t>
            </w:r>
            <w:r w:rsidRPr="00277B83">
              <w:rPr>
                <w:rFonts w:ascii="Times New Roman" w:hAnsi="Times New Roman" w:cs="Times New Roman"/>
                <w:color w:val="000000"/>
                <w:spacing w:val="6"/>
                <w:lang w:val="uk-UA"/>
              </w:rPr>
              <w:t>у т. ч</w:t>
            </w:r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виробів з неіржавіючої сталі, міді, латуні, цинку, алюмінію, пластиків (поліетилен, полістирол,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поліметил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метакрилат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, полікарбонат,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поліоксіметилен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, поліетилен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терефталат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поліамід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полісульфон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, м’якого та твердого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полівініл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 хлорид, плексигласу, поліефіру, латексу,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вітону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, тефлону, силікону, альгінату,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гідроколоїду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), гум (натуральний,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бутадієнстирольний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нітріловий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ізобутен-ізопреновий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, хлоропреновий,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фтороуглеродний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 каучук,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етиленпропілендієн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полідиметилсилоксан</w:t>
            </w:r>
            <w:proofErr w:type="spellEnd"/>
            <w:r w:rsidRPr="00277B83">
              <w:rPr>
                <w:rFonts w:ascii="Times New Roman" w:hAnsi="Times New Roman" w:cs="Times New Roman"/>
                <w:color w:val="000000"/>
                <w:lang w:val="uk-UA"/>
              </w:rPr>
              <w:t>, поліуретан) тощо.</w:t>
            </w:r>
          </w:p>
        </w:tc>
      </w:tr>
      <w:tr w:rsidR="00277B83" w:rsidRPr="00277B83" w:rsidTr="00277B83"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lastRenderedPageBreak/>
              <w:t>1.14.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Методи утилізації засобу: всі складові  компоненти засобу біологічно розкладаються. Відпрацьовані робочі розчини підлягають скиданню до каналізаційної системи.</w:t>
            </w:r>
          </w:p>
        </w:tc>
      </w:tr>
      <w:tr w:rsidR="00277B83" w:rsidRPr="00277B83" w:rsidTr="00277B83"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1.15.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Термін зберігання  не менше 5 років з дати виробництва</w:t>
            </w:r>
          </w:p>
        </w:tc>
      </w:tr>
      <w:tr w:rsidR="00277B83" w:rsidRPr="00277B83" w:rsidTr="00277B83"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>1.16.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57" w:right="57"/>
              <w:jc w:val="both"/>
              <w:rPr>
                <w:lang w:val="uk-UA"/>
              </w:rPr>
            </w:pPr>
            <w:r w:rsidRPr="00277B83">
              <w:rPr>
                <w:color w:val="222222"/>
                <w:lang w:val="uk-UA" w:eastAsia="ru-RU"/>
              </w:rPr>
              <w:t>Температура зберігання засобу в діапазоні від -20°С до + 40°С</w:t>
            </w:r>
          </w:p>
        </w:tc>
      </w:tr>
      <w:tr w:rsidR="00277B83" w:rsidRPr="00277B83" w:rsidTr="00277B83">
        <w:tc>
          <w:tcPr>
            <w:tcW w:w="709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0"/>
              <w:jc w:val="both"/>
              <w:rPr>
                <w:lang w:val="uk-UA"/>
              </w:rPr>
            </w:pPr>
            <w:r w:rsidRPr="00277B83">
              <w:rPr>
                <w:lang w:val="uk-UA"/>
              </w:rPr>
              <w:t xml:space="preserve">1.17. </w:t>
            </w:r>
          </w:p>
        </w:tc>
        <w:tc>
          <w:tcPr>
            <w:tcW w:w="9356" w:type="dxa"/>
          </w:tcPr>
          <w:p w:rsidR="00277B83" w:rsidRPr="00277B83" w:rsidRDefault="00277B83" w:rsidP="00C02A7D">
            <w:pPr>
              <w:pStyle w:val="TableParagraph"/>
              <w:spacing w:line="249" w:lineRule="exact"/>
              <w:ind w:left="0" w:right="113"/>
              <w:jc w:val="both"/>
              <w:rPr>
                <w:color w:val="222222"/>
                <w:lang w:val="uk-UA" w:eastAsia="ru-RU"/>
              </w:rPr>
            </w:pPr>
            <w:r w:rsidRPr="00277B83">
              <w:rPr>
                <w:lang w:val="uk-UA" w:eastAsia="ru-RU"/>
              </w:rPr>
              <w:t>Пакування засобу-полімерні флакони або каністри.</w:t>
            </w:r>
          </w:p>
        </w:tc>
      </w:tr>
    </w:tbl>
    <w:p w:rsidR="00277B83" w:rsidRPr="00277B83" w:rsidRDefault="00277B83" w:rsidP="00277B83">
      <w:pPr>
        <w:pStyle w:val="a5"/>
        <w:spacing w:after="0" w:line="240" w:lineRule="auto"/>
        <w:ind w:left="0"/>
        <w:jc w:val="both"/>
        <w:rPr>
          <w:rFonts w:ascii="Times New Roman" w:hAnsi="Times New Roman"/>
          <w:lang w:eastAsia="en-US"/>
        </w:rPr>
      </w:pPr>
    </w:p>
    <w:p w:rsidR="00277B83" w:rsidRPr="00277B83" w:rsidRDefault="00277B83" w:rsidP="00277B83">
      <w:pPr>
        <w:ind w:right="-148"/>
        <w:jc w:val="both"/>
        <w:rPr>
          <w:rFonts w:ascii="Times New Roman" w:hAnsi="Times New Roman" w:cs="Times New Roman"/>
        </w:rPr>
      </w:pPr>
    </w:p>
    <w:p w:rsidR="00277B83" w:rsidRPr="00277B83" w:rsidRDefault="00277B83" w:rsidP="00277B83">
      <w:pPr>
        <w:ind w:right="-148"/>
        <w:jc w:val="both"/>
        <w:rPr>
          <w:rFonts w:ascii="Times New Roman" w:hAnsi="Times New Roman" w:cs="Times New Roman"/>
        </w:rPr>
      </w:pPr>
    </w:p>
    <w:p w:rsidR="00277B83" w:rsidRPr="00277B83" w:rsidRDefault="00277B83" w:rsidP="00277B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77B83" w:rsidRPr="00277B83" w:rsidRDefault="00277B83" w:rsidP="00277B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77B83" w:rsidRDefault="00277B83" w:rsidP="00277B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5672C" w:rsidRPr="00F5672C" w:rsidRDefault="00F5672C" w:rsidP="00F567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1722B9" w:rsidRPr="00F5672C" w:rsidRDefault="001722B9">
      <w:pPr>
        <w:rPr>
          <w:rFonts w:ascii="Times New Roman" w:hAnsi="Times New Roman" w:cs="Times New Roman"/>
        </w:rPr>
      </w:pPr>
    </w:p>
    <w:sectPr w:rsidR="001722B9" w:rsidRPr="00F56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8B4FFE"/>
    <w:multiLevelType w:val="hybridMultilevel"/>
    <w:tmpl w:val="F9A86E50"/>
    <w:lvl w:ilvl="0" w:tplc="0C92ADDA">
      <w:start w:val="1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2741E"/>
    <w:rsid w:val="001722B9"/>
    <w:rsid w:val="001D7F0D"/>
    <w:rsid w:val="00277B83"/>
    <w:rsid w:val="00295ABC"/>
    <w:rsid w:val="0033022E"/>
    <w:rsid w:val="004E2A4B"/>
    <w:rsid w:val="00515CA7"/>
    <w:rsid w:val="00546E7F"/>
    <w:rsid w:val="00595BBA"/>
    <w:rsid w:val="0065516D"/>
    <w:rsid w:val="006A1B8E"/>
    <w:rsid w:val="006C25A9"/>
    <w:rsid w:val="00894F7F"/>
    <w:rsid w:val="00B86A7D"/>
    <w:rsid w:val="00BC2C5E"/>
    <w:rsid w:val="00E225A1"/>
    <w:rsid w:val="00E60DBF"/>
    <w:rsid w:val="00EF5950"/>
    <w:rsid w:val="00F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13EE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5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72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1"/>
    <w:qFormat/>
    <w:rsid w:val="00277B8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6">
    <w:name w:val="Абзац списка Знак"/>
    <w:link w:val="a5"/>
    <w:uiPriority w:val="1"/>
    <w:rsid w:val="00277B8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1540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25</cp:revision>
  <dcterms:created xsi:type="dcterms:W3CDTF">2020-12-23T12:18:00Z</dcterms:created>
  <dcterms:modified xsi:type="dcterms:W3CDTF">2022-07-12T09:42:00Z</dcterms:modified>
</cp:coreProperties>
</file>