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19" w:rsidRDefault="00527933" w:rsidP="00912C19">
      <w:pPr>
        <w:spacing w:line="264" w:lineRule="auto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</w:t>
      </w:r>
      <w:r w:rsidR="00E031DE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E031DE"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FD300A">
        <w:rPr>
          <w:rStyle w:val="rvts0"/>
          <w:rFonts w:ascii="Times New Roman" w:hAnsi="Times New Roman" w:cs="Times New Roman"/>
          <w:b/>
          <w:lang w:val="uk-UA"/>
        </w:rPr>
        <w:t xml:space="preserve">: </w:t>
      </w:r>
      <w:r w:rsidR="00E40B2F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912C19" w:rsidRPr="00D074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Електроенцефалограф</w:t>
      </w:r>
    </w:p>
    <w:p w:rsidR="0078202C" w:rsidRPr="00912C19" w:rsidRDefault="00E031DE" w:rsidP="00912C19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2ED7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0" w:name="_Hlk64476086"/>
      <w:r w:rsidR="0092142A" w:rsidRPr="00E32ED7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Start w:id="1" w:name="_Hlk88152897"/>
      <w:bookmarkEnd w:id="0"/>
      <w:r w:rsidR="0078202C" w:rsidRPr="00D0741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287 000,00 </w:t>
      </w:r>
      <w:r w:rsidR="0078202C" w:rsidRPr="00D0741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грн. ( Двісті вісімдесят сім </w:t>
      </w:r>
      <w:r w:rsidR="0078202C" w:rsidRPr="00D074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тисяч  грн. 00 коп. з ПДВ).</w:t>
      </w:r>
    </w:p>
    <w:bookmarkEnd w:id="1"/>
    <w:p w:rsidR="00E031DE" w:rsidRPr="00E32ED7" w:rsidRDefault="00E031DE" w:rsidP="00912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32ED7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E32ED7">
        <w:rPr>
          <w:rFonts w:ascii="Times New Roman" w:hAnsi="Times New Roman" w:cs="Times New Roman"/>
          <w:lang w:val="uk-UA"/>
        </w:rPr>
        <w:t>:</w:t>
      </w:r>
      <w:r w:rsidRPr="00E32ED7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E32ED7" w:rsidRDefault="00E031DE" w:rsidP="00912C19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32ED7">
        <w:rPr>
          <w:rFonts w:ascii="Times New Roman" w:hAnsi="Times New Roman" w:cs="Times New Roman"/>
          <w:lang w:val="uk-UA"/>
        </w:rPr>
        <w:t>Умови оплати:</w:t>
      </w:r>
      <w:r w:rsidR="00E40B2F" w:rsidRPr="00E32ED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40B2F" w:rsidRPr="00E32ED7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E40B2F" w:rsidRPr="00E32ED7">
        <w:rPr>
          <w:rFonts w:ascii="Times New Roman" w:hAnsi="Times New Roman" w:cs="Times New Roman"/>
          <w:lang w:val="uk-UA"/>
        </w:rPr>
        <w:t>.</w:t>
      </w:r>
      <w:r w:rsidRPr="00E32ED7">
        <w:rPr>
          <w:rFonts w:ascii="Times New Roman" w:hAnsi="Times New Roman" w:cs="Times New Roman"/>
          <w:lang w:val="uk-UA"/>
        </w:rPr>
        <w:t xml:space="preserve"> </w:t>
      </w:r>
      <w:r w:rsidR="00FD300A" w:rsidRPr="00E32ED7">
        <w:rPr>
          <w:rFonts w:ascii="Times New Roman" w:eastAsia="Calibri" w:hAnsi="Times New Roman" w:cs="Times New Roman"/>
          <w:lang w:val="uk-UA"/>
        </w:rPr>
        <w:t>Розрахунки проводяться у безготівковій формі шляхом п</w:t>
      </w:r>
      <w:r w:rsidR="00FD300A" w:rsidRPr="00E32ED7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FD300A" w:rsidRPr="00E32ED7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 при наявності коштів на рахунку Покупця та по мірі надходження фінансування</w:t>
      </w:r>
      <w:r w:rsidRPr="00E32ED7">
        <w:rPr>
          <w:rFonts w:ascii="Times New Roman" w:eastAsia="Calibri" w:hAnsi="Times New Roman" w:cs="Times New Roman"/>
          <w:lang w:val="uk-UA"/>
        </w:rPr>
        <w:t>.</w:t>
      </w:r>
    </w:p>
    <w:p w:rsidR="00E32ED7" w:rsidRPr="00E32ED7" w:rsidRDefault="00692496" w:rsidP="00E32ED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32ED7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78202C">
        <w:rPr>
          <w:rFonts w:ascii="Times New Roman" w:eastAsia="Calibri" w:hAnsi="Times New Roman" w:cs="Times New Roman"/>
          <w:lang w:val="uk-UA"/>
        </w:rPr>
        <w:t>31</w:t>
      </w:r>
      <w:r w:rsidRPr="00E32ED7">
        <w:rPr>
          <w:rFonts w:ascii="Times New Roman" w:eastAsia="Calibri" w:hAnsi="Times New Roman" w:cs="Times New Roman"/>
          <w:lang w:val="uk-UA"/>
        </w:rPr>
        <w:t>.12.2021 р</w:t>
      </w:r>
      <w:r w:rsidR="00FD300A" w:rsidRPr="00E32ED7">
        <w:rPr>
          <w:rFonts w:ascii="Times New Roman" w:eastAsia="Calibri" w:hAnsi="Times New Roman" w:cs="Times New Roman"/>
          <w:lang w:val="uk-UA"/>
        </w:rPr>
        <w:t>.</w:t>
      </w:r>
    </w:p>
    <w:p w:rsidR="00E32ED7" w:rsidRPr="00E32ED7" w:rsidRDefault="00E32ED7" w:rsidP="00E32E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lang w:val="uk-UA"/>
        </w:rPr>
      </w:pPr>
      <w:r w:rsidRPr="00E32ED7">
        <w:rPr>
          <w:rFonts w:ascii="Times New Roman" w:hAnsi="Times New Roman" w:cs="Times New Roman"/>
          <w:b/>
          <w:lang w:val="uk-UA"/>
        </w:rPr>
        <w:t>Загальні вимоги:</w:t>
      </w:r>
    </w:p>
    <w:p w:rsidR="00E32ED7" w:rsidRPr="00E32ED7" w:rsidRDefault="00E32ED7" w:rsidP="00E32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lang w:val="uk-UA"/>
        </w:rPr>
      </w:pPr>
      <w:r w:rsidRPr="00E32ED7">
        <w:rPr>
          <w:rFonts w:ascii="Times New Roman" w:hAnsi="Times New Roman" w:cs="Times New Roman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E32ED7" w:rsidRPr="00E32ED7" w:rsidRDefault="00E32ED7" w:rsidP="00E32E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lang w:val="uk-UA"/>
        </w:rPr>
      </w:pPr>
      <w:r w:rsidRPr="00E32ED7">
        <w:rPr>
          <w:rFonts w:ascii="Times New Roman" w:hAnsi="Times New Roman" w:cs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</w:t>
      </w:r>
      <w:bookmarkStart w:id="2" w:name="_GoBack"/>
      <w:bookmarkEnd w:id="2"/>
      <w:r w:rsidRPr="00E32ED7">
        <w:rPr>
          <w:rFonts w:ascii="Times New Roman" w:hAnsi="Times New Roman" w:cs="Times New Roman"/>
          <w:i/>
          <w:lang w:val="uk-UA"/>
        </w:rPr>
        <w:t xml:space="preserve">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E32ED7">
        <w:rPr>
          <w:rFonts w:ascii="Times New Roman" w:hAnsi="Times New Roman" w:cs="Times New Roman"/>
          <w:lang w:val="uk-UA"/>
        </w:rPr>
        <w:t>ії:</w:t>
      </w:r>
      <w:r w:rsidRPr="00E32ED7">
        <w:rPr>
          <w:rFonts w:ascii="Times New Roman" w:hAnsi="Times New Roman" w:cs="Times New Roman"/>
          <w:i/>
          <w:lang w:val="uk-UA"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таких документів</w:t>
      </w:r>
      <w:r w:rsidRPr="00E32ED7">
        <w:rPr>
          <w:rFonts w:ascii="Times New Roman" w:hAnsi="Times New Roman" w:cs="Times New Roman"/>
          <w:lang w:val="uk-UA"/>
        </w:rPr>
        <w:t>.</w:t>
      </w:r>
      <w:r w:rsidRPr="00E32ED7">
        <w:rPr>
          <w:rFonts w:ascii="Times New Roman" w:hAnsi="Times New Roman" w:cs="Times New Roman"/>
          <w:i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:rsidR="00E32ED7" w:rsidRPr="00E32ED7" w:rsidRDefault="00E32ED7" w:rsidP="00E32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lang w:val="uk-UA"/>
        </w:rPr>
      </w:pPr>
      <w:r w:rsidRPr="00E32ED7">
        <w:rPr>
          <w:rFonts w:ascii="Times New Roman" w:hAnsi="Times New Roman" w:cs="Times New Roman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E32ED7" w:rsidRPr="00E32ED7" w:rsidRDefault="00E32ED7" w:rsidP="00E32E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lang w:val="uk-UA"/>
        </w:rPr>
      </w:pPr>
      <w:r w:rsidRPr="00E32ED7">
        <w:rPr>
          <w:rFonts w:ascii="Times New Roman" w:hAnsi="Times New Roman" w:cs="Times New Roman"/>
          <w:i/>
          <w:lang w:val="uk-UA"/>
        </w:rPr>
        <w:t>На підтвердження Учасник повинен надати:</w:t>
      </w:r>
    </w:p>
    <w:p w:rsidR="00E32ED7" w:rsidRPr="00E32ED7" w:rsidRDefault="00E32ED7" w:rsidP="00E32E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lang w:val="uk-UA"/>
        </w:rPr>
      </w:pPr>
      <w:r w:rsidRPr="00E32ED7">
        <w:rPr>
          <w:rFonts w:ascii="Times New Roman" w:hAnsi="Times New Roman" w:cs="Times New Roman"/>
          <w:i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E32ED7" w:rsidRPr="00E32ED7" w:rsidRDefault="00E32ED7" w:rsidP="00E32E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lang w:val="uk-UA"/>
        </w:rPr>
      </w:pPr>
      <w:r w:rsidRPr="00E32ED7">
        <w:rPr>
          <w:rFonts w:ascii="Times New Roman" w:hAnsi="Times New Roman" w:cs="Times New Roman"/>
          <w:i/>
          <w:lang w:val="uk-UA"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E32ED7">
        <w:rPr>
          <w:rFonts w:ascii="Times New Roman" w:hAnsi="Times New Roman" w:cs="Times New Roman"/>
          <w:i/>
          <w:lang w:val="uk-UA"/>
        </w:rPr>
        <w:t>п.п</w:t>
      </w:r>
      <w:proofErr w:type="spellEnd"/>
      <w:r w:rsidRPr="00E32ED7">
        <w:rPr>
          <w:rFonts w:ascii="Times New Roman" w:hAnsi="Times New Roman" w:cs="Times New Roman"/>
          <w:i/>
          <w:lang w:val="uk-UA"/>
        </w:rPr>
        <w:t>. (а) п.2 загальних вимог цього Додатку, будуть надані при постачанні товару.</w:t>
      </w:r>
    </w:p>
    <w:p w:rsidR="00E32ED7" w:rsidRPr="00E32ED7" w:rsidRDefault="00E32ED7" w:rsidP="00E32ED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lang w:val="uk-UA"/>
        </w:rPr>
      </w:pPr>
      <w:r w:rsidRPr="00E32ED7">
        <w:rPr>
          <w:rFonts w:ascii="Times New Roman" w:hAnsi="Times New Roman" w:cs="Times New Roman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E32ED7" w:rsidRPr="00E32ED7" w:rsidRDefault="00E32ED7" w:rsidP="00E32ED7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 w:rsidRPr="00E32ED7">
        <w:rPr>
          <w:rFonts w:ascii="Times New Roman" w:hAnsi="Times New Roman" w:cs="Times New Roman"/>
          <w:i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E32ED7">
        <w:rPr>
          <w:rFonts w:ascii="Times New Roman" w:hAnsi="Times New Roman" w:cs="Times New Roman"/>
          <w:lang w:val="uk-UA"/>
        </w:rPr>
        <w:t xml:space="preserve"> </w:t>
      </w:r>
      <w:r w:rsidRPr="00E32ED7">
        <w:rPr>
          <w:rFonts w:ascii="Times New Roman" w:hAnsi="Times New Roman" w:cs="Times New Roman"/>
          <w:i/>
          <w:lang w:val="uk-UA"/>
        </w:rPr>
        <w:t>запропонованого ним товару та відповідність іншим вимогам зазначеним в даному пункті</w:t>
      </w:r>
      <w:r w:rsidRPr="00E32ED7">
        <w:rPr>
          <w:rFonts w:ascii="Times New Roman" w:hAnsi="Times New Roman" w:cs="Times New Roman"/>
          <w:lang w:val="uk-UA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387"/>
        <w:gridCol w:w="992"/>
        <w:gridCol w:w="1559"/>
        <w:gridCol w:w="1134"/>
      </w:tblGrid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параметра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од. виміру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Параметри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Відповідність так/ні</w:t>
            </w: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Кількість стандартних каналів ЭЭГ, які реєструються і передаються із застосуванням цифрової  радіотелеметрії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Діапазон вимірів напруги електроенцефалографічного сигналу (ЕЕС)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мкВ</w:t>
            </w:r>
            <w:proofErr w:type="spellEnd"/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5-300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Діапазон вимірів інтервалів часу  ЕЕС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с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0,1-1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Межі відносної похибки, що припускається, при вимірі напруги, не більш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sym w:font="Symbol" w:char="F0B1"/>
            </w:r>
            <w:r w:rsidRPr="00912C19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Межі відносної похибки, що припускається, при вимірі інтервалів часу, не більш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%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sym w:font="Symbol" w:char="F0B1"/>
            </w:r>
            <w:r w:rsidRPr="00912C19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Програмне забезпечення комплексу повинне забезпечувати можливість завдання наступних значень чутливості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мкВ</w:t>
            </w:r>
            <w:proofErr w:type="spellEnd"/>
            <w:r w:rsidRPr="00912C19">
              <w:rPr>
                <w:rFonts w:ascii="Times New Roman" w:eastAsia="Times New Roman" w:hAnsi="Times New Roman"/>
                <w:lang w:val="uk-UA" w:eastAsia="ru-RU"/>
              </w:rPr>
              <w:t>/10 мм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5; 10; 25; 50; 100; 200; 400; 800; 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Програмне забезпечення комплексу повинне забезпечувати можливість завдання наступних значень швидкості розгортки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мм/с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15, 30, 60 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Нерівномірність амплітудно-частотної характеристики в смузі пропускання від 0,3 до 30 </w:t>
            </w: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Гц</w:t>
            </w:r>
            <w:proofErr w:type="spellEnd"/>
            <w:r w:rsidRPr="00912C19">
              <w:rPr>
                <w:rFonts w:ascii="Times New Roman" w:eastAsia="Times New Roman" w:hAnsi="Times New Roman"/>
                <w:lang w:val="uk-UA" w:eastAsia="ru-RU"/>
              </w:rPr>
              <w:t>, не більш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дБ</w:t>
            </w:r>
            <w:proofErr w:type="spellEnd"/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  <w:r w:rsidRPr="00912C19">
              <w:rPr>
                <w:rFonts w:ascii="Times New Roman" w:eastAsia="Times New Roman" w:hAnsi="Times New Roman"/>
                <w:lang w:val="uk-UA" w:eastAsia="ru-RU"/>
              </w:rPr>
              <w:sym w:font="Symbol" w:char="F0B1"/>
            </w:r>
            <w:r w:rsidRPr="00912C1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Вхідний імпеданс, не менш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МОм</w:t>
            </w:r>
            <w:proofErr w:type="spellEnd"/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5 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ФНЧ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Гц</w:t>
            </w:r>
            <w:proofErr w:type="spellEnd"/>
          </w:p>
        </w:tc>
        <w:tc>
          <w:tcPr>
            <w:tcW w:w="1559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15, 30, 70, OFF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lastRenderedPageBreak/>
              <w:t>11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ФВЧ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сек</w:t>
            </w:r>
            <w:proofErr w:type="spellEnd"/>
          </w:p>
        </w:tc>
        <w:tc>
          <w:tcPr>
            <w:tcW w:w="1559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OFF; 0,7; 0,3; 0,1; 0,03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5387" w:type="dxa"/>
          </w:tcPr>
          <w:p w:rsidR="00912C19" w:rsidRPr="00912C19" w:rsidRDefault="00912C19" w:rsidP="00912C19">
            <w:pPr>
              <w:numPr>
                <w:ilvl w:val="0"/>
                <w:numId w:val="3"/>
              </w:numPr>
              <w:tabs>
                <w:tab w:val="num" w:pos="0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Час безперервної роботи без заряджання акумуляторів, не менш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spacing w:after="0" w:line="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год.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17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Рівень шуму, виміряний по 3</w:t>
            </w:r>
            <w:r w:rsidRPr="00912C19">
              <w:rPr>
                <w:rFonts w:ascii="Times New Roman" w:eastAsia="Times New Roman" w:hAnsi="Times New Roman"/>
                <w:lang w:val="uk-UA" w:eastAsia="ru-RU"/>
              </w:rPr>
              <w:sym w:font="Symbol" w:char="F073"/>
            </w: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 «від пику до пику», не більш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мкВ</w:t>
            </w:r>
            <w:proofErr w:type="spellEnd"/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4,0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Вага ЕЕГ підсилювача, не більш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г</w:t>
            </w: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400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Використання </w:t>
            </w: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Bluetooth</w:t>
            </w:r>
            <w:proofErr w:type="spellEnd"/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 для дистанційної ЕЕГ-реєстрації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не </w:t>
            </w:r>
            <w:proofErr w:type="spellStart"/>
            <w:r w:rsidRPr="00912C19">
              <w:rPr>
                <w:rFonts w:ascii="Times New Roman" w:eastAsia="Times New Roman" w:hAnsi="Times New Roman"/>
                <w:lang w:val="uk-UA" w:eastAsia="ru-RU"/>
              </w:rPr>
              <w:t>викорис-товується</w:t>
            </w:r>
            <w:proofErr w:type="spellEnd"/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Автоматична індикація розряду акумуляторів</w:t>
            </w:r>
          </w:p>
        </w:tc>
        <w:tc>
          <w:tcPr>
            <w:tcW w:w="99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Ноутбук з операційною системою Windows 10</w:t>
            </w:r>
          </w:p>
        </w:tc>
        <w:tc>
          <w:tcPr>
            <w:tcW w:w="992" w:type="dxa"/>
            <w:vAlign w:val="center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Розмір монітора по діагоналі, не менш</w:t>
            </w:r>
          </w:p>
        </w:tc>
        <w:tc>
          <w:tcPr>
            <w:tcW w:w="992" w:type="dxa"/>
            <w:vAlign w:val="center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дюйм</w:t>
            </w:r>
          </w:p>
        </w:tc>
        <w:tc>
          <w:tcPr>
            <w:tcW w:w="1559" w:type="dxa"/>
            <w:vAlign w:val="center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12C19" w:rsidRPr="00912C19" w:rsidTr="0080101F">
        <w:tc>
          <w:tcPr>
            <w:tcW w:w="562" w:type="dxa"/>
          </w:tcPr>
          <w:p w:rsidR="00912C19" w:rsidRPr="00912C19" w:rsidRDefault="00912C19" w:rsidP="0080101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24</w:t>
            </w:r>
          </w:p>
        </w:tc>
        <w:tc>
          <w:tcPr>
            <w:tcW w:w="5387" w:type="dxa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 xml:space="preserve">Лазерний принтер формату А4 </w:t>
            </w:r>
          </w:p>
        </w:tc>
        <w:tc>
          <w:tcPr>
            <w:tcW w:w="992" w:type="dxa"/>
            <w:vAlign w:val="center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12C19">
              <w:rPr>
                <w:rFonts w:ascii="Times New Roman" w:eastAsia="Times New Roman" w:hAnsi="Times New Roman"/>
                <w:lang w:val="uk-UA" w:eastAsia="ru-RU"/>
              </w:rPr>
              <w:t>Наявність</w:t>
            </w:r>
          </w:p>
        </w:tc>
        <w:tc>
          <w:tcPr>
            <w:tcW w:w="1134" w:type="dxa"/>
          </w:tcPr>
          <w:p w:rsidR="00912C19" w:rsidRPr="00912C19" w:rsidRDefault="00912C19" w:rsidP="0080101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912C19" w:rsidRPr="00912C19" w:rsidRDefault="00912C19" w:rsidP="00912C19">
      <w:pPr>
        <w:spacing w:after="0" w:line="240" w:lineRule="auto"/>
        <w:rPr>
          <w:rFonts w:ascii="Times New Roman" w:hAnsi="Times New Roman"/>
          <w:caps/>
          <w:lang w:val="uk-UA"/>
        </w:rPr>
      </w:pPr>
    </w:p>
    <w:p w:rsidR="00912C19" w:rsidRPr="00912C19" w:rsidRDefault="00912C19" w:rsidP="00912C19">
      <w:pPr>
        <w:spacing w:after="0" w:line="240" w:lineRule="auto"/>
        <w:rPr>
          <w:rFonts w:ascii="Times New Roman" w:hAnsi="Times New Roman"/>
          <w:caps/>
          <w:lang w:val="uk-UA"/>
        </w:rPr>
      </w:pPr>
      <w:r w:rsidRPr="00912C19">
        <w:rPr>
          <w:rFonts w:ascii="Times New Roman" w:hAnsi="Times New Roman"/>
          <w:caps/>
          <w:u w:val="single"/>
          <w:lang w:val="uk-UA"/>
        </w:rPr>
        <w:t>можливостІ програмного забезпечення та додаткового обладнання</w:t>
      </w:r>
      <w:r w:rsidRPr="00912C19">
        <w:rPr>
          <w:rFonts w:ascii="Times New Roman" w:hAnsi="Times New Roman"/>
          <w:caps/>
          <w:lang w:val="uk-UA"/>
        </w:rPr>
        <w:t>:</w:t>
      </w:r>
    </w:p>
    <w:p w:rsidR="00912C19" w:rsidRPr="00912C19" w:rsidRDefault="00912C19" w:rsidP="00912C19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912C19">
        <w:rPr>
          <w:rFonts w:ascii="Times New Roman" w:hAnsi="Times New Roman"/>
          <w:lang w:val="uk-UA"/>
        </w:rPr>
        <w:t xml:space="preserve">Реєстрація та відображення ЕЕГ, розширений аналіз, монтажі, 3D ймовірнісна локалізація джерел патологічної електричної активності, </w:t>
      </w:r>
      <w:proofErr w:type="spellStart"/>
      <w:r w:rsidRPr="00912C19">
        <w:rPr>
          <w:rFonts w:ascii="Times New Roman" w:hAnsi="Times New Roman"/>
          <w:lang w:val="uk-UA"/>
        </w:rPr>
        <w:t>автоаналізатор</w:t>
      </w:r>
      <w:proofErr w:type="spellEnd"/>
      <w:r w:rsidRPr="00912C19">
        <w:rPr>
          <w:rFonts w:ascii="Times New Roman" w:hAnsi="Times New Roman"/>
          <w:lang w:val="uk-UA"/>
        </w:rPr>
        <w:t xml:space="preserve"> ЕЕГ, автомат опису, база даних, архівація, розширений програмний модуль аналізу викликаних потенціалів (ВП), модуль аналізу амплітудно-</w:t>
      </w:r>
      <w:proofErr w:type="spellStart"/>
      <w:r w:rsidRPr="00912C19">
        <w:rPr>
          <w:rFonts w:ascii="Times New Roman" w:hAnsi="Times New Roman"/>
          <w:lang w:val="uk-UA"/>
        </w:rPr>
        <w:t>інтегрованної</w:t>
      </w:r>
      <w:proofErr w:type="spellEnd"/>
      <w:r w:rsidRPr="00912C19">
        <w:rPr>
          <w:rFonts w:ascii="Times New Roman" w:hAnsi="Times New Roman"/>
          <w:lang w:val="uk-UA"/>
        </w:rPr>
        <w:t xml:space="preserve"> ЕЕГ</w:t>
      </w:r>
      <w:r w:rsidRPr="00912C19">
        <w:rPr>
          <w:rFonts w:ascii="Times New Roman" w:hAnsi="Times New Roman"/>
          <w:sz w:val="24"/>
          <w:lang w:val="uk-UA"/>
        </w:rPr>
        <w:t xml:space="preserve">.  </w:t>
      </w:r>
    </w:p>
    <w:p w:rsidR="00E32ED7" w:rsidRPr="00912C19" w:rsidRDefault="00E32ED7" w:rsidP="00E32ED7">
      <w:pPr>
        <w:ind w:firstLine="708"/>
        <w:rPr>
          <w:rFonts w:ascii="Times New Roman" w:eastAsia="Calibri" w:hAnsi="Times New Roman" w:cs="Times New Roman"/>
        </w:rPr>
      </w:pPr>
    </w:p>
    <w:sectPr w:rsidR="00E32ED7" w:rsidRPr="00912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591958F4"/>
    <w:multiLevelType w:val="multilevel"/>
    <w:tmpl w:val="21C0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A4730B"/>
    <w:multiLevelType w:val="multilevel"/>
    <w:tmpl w:val="9088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3939B0"/>
    <w:rsid w:val="00527933"/>
    <w:rsid w:val="00692496"/>
    <w:rsid w:val="006A7798"/>
    <w:rsid w:val="0078202C"/>
    <w:rsid w:val="00830ADD"/>
    <w:rsid w:val="00912C19"/>
    <w:rsid w:val="0092142A"/>
    <w:rsid w:val="00997100"/>
    <w:rsid w:val="009D62C8"/>
    <w:rsid w:val="00D35EEF"/>
    <w:rsid w:val="00E031DE"/>
    <w:rsid w:val="00E32ED7"/>
    <w:rsid w:val="00E40B2F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6279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styleId="a3">
    <w:name w:val="Strong"/>
    <w:qFormat/>
    <w:rsid w:val="00E32ED7"/>
    <w:rPr>
      <w:b/>
    </w:rPr>
  </w:style>
  <w:style w:type="paragraph" w:styleId="2">
    <w:name w:val="Body Text 2"/>
    <w:basedOn w:val="a"/>
    <w:link w:val="20"/>
    <w:rsid w:val="00E3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32E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19</cp:revision>
  <dcterms:created xsi:type="dcterms:W3CDTF">2021-01-28T13:34:00Z</dcterms:created>
  <dcterms:modified xsi:type="dcterms:W3CDTF">2021-11-19T07:39:00Z</dcterms:modified>
</cp:coreProperties>
</file>